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D5" w:rsidRDefault="00BC2FD4" w:rsidP="00BC2FD4">
      <w:pPr>
        <w:pStyle w:val="NoSpacing"/>
      </w:pPr>
      <w:r>
        <w:t>56 Mount Prospect Park</w:t>
      </w:r>
    </w:p>
    <w:p w:rsidR="00BC2FD4" w:rsidRDefault="00BC2FD4" w:rsidP="00BC2FD4">
      <w:pPr>
        <w:pStyle w:val="NoSpacing"/>
      </w:pPr>
      <w:r>
        <w:t>Belfast</w:t>
      </w:r>
    </w:p>
    <w:p w:rsidR="00BC2FD4" w:rsidRDefault="00BC2FD4" w:rsidP="00BC2FD4">
      <w:pPr>
        <w:pStyle w:val="NoSpacing"/>
      </w:pPr>
      <w:r>
        <w:t>BT9 7BG</w:t>
      </w:r>
    </w:p>
    <w:p w:rsidR="0000513C" w:rsidRDefault="0000513C" w:rsidP="00BC2FD4">
      <w:pPr>
        <w:pStyle w:val="NoSpacing"/>
      </w:pPr>
    </w:p>
    <w:p w:rsidR="0000513C" w:rsidRDefault="0000513C" w:rsidP="0000513C">
      <w:pPr>
        <w:pStyle w:val="NoSpacing"/>
        <w:jc w:val="right"/>
      </w:pPr>
      <w:r>
        <w:t>3 October 2018</w:t>
      </w:r>
    </w:p>
    <w:p w:rsidR="00BC2FD4" w:rsidRDefault="00BC2FD4" w:rsidP="00BC2FD4">
      <w:pPr>
        <w:pStyle w:val="NoSpacing"/>
      </w:pPr>
    </w:p>
    <w:p w:rsidR="00BC2FD4" w:rsidRDefault="00BC2FD4" w:rsidP="00BC2FD4">
      <w:pPr>
        <w:pStyle w:val="NoSpacing"/>
      </w:pPr>
      <w:r>
        <w:t xml:space="preserve">Dear </w:t>
      </w:r>
      <w:r w:rsidR="001A52EE">
        <w:t xml:space="preserve">NIO </w:t>
      </w:r>
      <w:bookmarkStart w:id="0" w:name="_GoBack"/>
      <w:bookmarkEnd w:id="0"/>
      <w:r>
        <w:t>Legacy Policy Team</w:t>
      </w:r>
    </w:p>
    <w:p w:rsidR="00BC2FD4" w:rsidRDefault="00BC2FD4" w:rsidP="00BC2FD4">
      <w:pPr>
        <w:pStyle w:val="NoSpacing"/>
        <w:rPr>
          <w:i/>
        </w:rPr>
      </w:pPr>
      <w:r>
        <w:t xml:space="preserve">I enclose a copy of the </w:t>
      </w:r>
      <w:r w:rsidRPr="00BC2FD4">
        <w:t xml:space="preserve">Malone House Group’s book </w:t>
      </w:r>
      <w:r w:rsidRPr="00BC2FD4">
        <w:rPr>
          <w:i/>
        </w:rPr>
        <w:t>Legacy: What to do about the Past in Northern Ireland?</w:t>
      </w:r>
    </w:p>
    <w:p w:rsidR="00ED1811" w:rsidRPr="00ED1811" w:rsidRDefault="00ED1811" w:rsidP="00BC2FD4">
      <w:pPr>
        <w:pStyle w:val="NoSpacing"/>
      </w:pPr>
      <w:r w:rsidRPr="00ED1811">
        <w:t xml:space="preserve">Please treat this as our response to </w:t>
      </w:r>
      <w:r w:rsidR="0000513C">
        <w:t>the NIO</w:t>
      </w:r>
      <w:r w:rsidRPr="00ED1811">
        <w:t xml:space="preserve"> Legacy consultation.</w:t>
      </w:r>
    </w:p>
    <w:p w:rsidR="00BC2FD4" w:rsidRDefault="00BC2FD4" w:rsidP="00BC2FD4">
      <w:pPr>
        <w:pStyle w:val="NoSpacing"/>
      </w:pPr>
      <w:r w:rsidRPr="00BC2FD4">
        <w:t>I have also enclosed details about the book’s publication and launch, and the conference in March whose proceedings are at its core.</w:t>
      </w:r>
    </w:p>
    <w:p w:rsidR="00ED1811" w:rsidRDefault="00BC2FD4" w:rsidP="00BC2FD4">
      <w:pPr>
        <w:pStyle w:val="NoSpacing"/>
      </w:pPr>
      <w:r>
        <w:t xml:space="preserve">I will follow up with </w:t>
      </w:r>
      <w:r w:rsidR="00ED1811">
        <w:t xml:space="preserve">an </w:t>
      </w:r>
      <w:r>
        <w:t>electronic version of the book</w:t>
      </w:r>
      <w:r w:rsidR="003969D9" w:rsidRPr="003969D9">
        <w:t xml:space="preserve"> </w:t>
      </w:r>
      <w:r w:rsidR="003969D9">
        <w:t>in</w:t>
      </w:r>
      <w:r w:rsidR="003969D9" w:rsidRPr="003969D9">
        <w:t xml:space="preserve"> </w:t>
      </w:r>
      <w:r w:rsidR="00ED1811">
        <w:t xml:space="preserve">a </w:t>
      </w:r>
      <w:r w:rsidR="003969D9">
        <w:t>Word</w:t>
      </w:r>
      <w:r w:rsidR="00ED1811">
        <w:t xml:space="preserve"> v</w:t>
      </w:r>
      <w:r w:rsidR="003969D9">
        <w:t>ersion</w:t>
      </w:r>
      <w:r>
        <w:t>, by email.</w:t>
      </w:r>
    </w:p>
    <w:p w:rsidR="0000513C" w:rsidRDefault="0000513C" w:rsidP="00BC2FD4">
      <w:pPr>
        <w:pStyle w:val="NoSpacing"/>
      </w:pPr>
      <w:r>
        <w:t xml:space="preserve">Please find below details of the book, and the text of the </w:t>
      </w:r>
      <w:r w:rsidR="00ED1811">
        <w:t xml:space="preserve">cover and </w:t>
      </w:r>
      <w:r>
        <w:t xml:space="preserve">foreword </w:t>
      </w:r>
      <w:r w:rsidR="00ED1811">
        <w:t xml:space="preserve">which </w:t>
      </w:r>
      <w:r>
        <w:t xml:space="preserve">give a condensed version of the group’s view. </w:t>
      </w:r>
    </w:p>
    <w:p w:rsidR="00ED1811" w:rsidRDefault="0000513C" w:rsidP="00BC2FD4">
      <w:pPr>
        <w:pStyle w:val="NoSpacing"/>
      </w:pPr>
      <w:r>
        <w:t>It is essentially one of asking for the abandonment of the Bill and a review instead of simpler and cheaper options.</w:t>
      </w:r>
    </w:p>
    <w:p w:rsidR="0000513C" w:rsidRDefault="0000513C" w:rsidP="00BC2FD4">
      <w:pPr>
        <w:pStyle w:val="NoSpacing"/>
      </w:pPr>
      <w:r>
        <w:t>Yours sincerely</w:t>
      </w:r>
    </w:p>
    <w:p w:rsidR="00AB677D" w:rsidRDefault="00AB677D" w:rsidP="00BC2FD4">
      <w:pPr>
        <w:pStyle w:val="NoSpacing"/>
      </w:pPr>
    </w:p>
    <w:p w:rsidR="00AB677D" w:rsidRDefault="00AB677D" w:rsidP="00BC2FD4">
      <w:pPr>
        <w:pStyle w:val="NoSpacing"/>
      </w:pPr>
    </w:p>
    <w:p w:rsidR="0000513C" w:rsidRDefault="0000513C" w:rsidP="00BC2FD4">
      <w:pPr>
        <w:pStyle w:val="NoSpacing"/>
      </w:pPr>
      <w:r>
        <w:t>Jeffrey Dudgeon (Cllr.)</w:t>
      </w:r>
    </w:p>
    <w:p w:rsidR="0000513C" w:rsidRDefault="0000513C" w:rsidP="00BC2FD4">
      <w:pPr>
        <w:pStyle w:val="NoSpacing"/>
      </w:pPr>
    </w:p>
    <w:p w:rsidR="0000513C" w:rsidRPr="0000513C" w:rsidRDefault="0000513C" w:rsidP="0000513C">
      <w:pPr>
        <w:spacing w:before="100" w:beforeAutospacing="1" w:after="0" w:afterAutospacing="1" w:line="240" w:lineRule="auto"/>
        <w:jc w:val="center"/>
        <w:rPr>
          <w:rFonts w:eastAsia="Times New Roman"/>
          <w:b/>
          <w:i/>
          <w:sz w:val="20"/>
          <w:szCs w:val="20"/>
          <w:lang w:eastAsia="en-GB"/>
        </w:rPr>
      </w:pPr>
      <w:r w:rsidRPr="0000513C">
        <w:rPr>
          <w:rFonts w:eastAsia="Times New Roman"/>
          <w:b/>
          <w:i/>
          <w:sz w:val="20"/>
          <w:szCs w:val="20"/>
          <w:lang w:eastAsia="en-GB"/>
        </w:rPr>
        <w:t>Legacy: What to do about the Past in Northern Ireland?</w:t>
      </w:r>
    </w:p>
    <w:p w:rsidR="0000513C" w:rsidRPr="0000513C" w:rsidRDefault="0000513C" w:rsidP="0000513C">
      <w:pPr>
        <w:spacing w:after="0" w:line="240" w:lineRule="auto"/>
        <w:jc w:val="both"/>
        <w:rPr>
          <w:sz w:val="20"/>
          <w:szCs w:val="20"/>
        </w:rPr>
      </w:pPr>
      <w:r w:rsidRPr="0000513C">
        <w:rPr>
          <w:sz w:val="20"/>
          <w:szCs w:val="20"/>
        </w:rPr>
        <w:t>Editor for Malone House Group: Jeffrey Dudgeon</w:t>
      </w:r>
    </w:p>
    <w:p w:rsidR="0000513C" w:rsidRPr="0000513C" w:rsidRDefault="0000513C" w:rsidP="0000513C">
      <w:pPr>
        <w:spacing w:after="0" w:line="240" w:lineRule="auto"/>
        <w:jc w:val="both"/>
        <w:rPr>
          <w:sz w:val="20"/>
          <w:szCs w:val="20"/>
        </w:rPr>
      </w:pPr>
      <w:r w:rsidRPr="0000513C">
        <w:rPr>
          <w:sz w:val="20"/>
          <w:szCs w:val="20"/>
        </w:rPr>
        <w:t>Belfast Press</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bCs/>
          <w:sz w:val="20"/>
          <w:szCs w:val="20"/>
          <w:lang w:eastAsia="en-GB"/>
        </w:rPr>
        <w:t>Publisher:</w:t>
      </w:r>
      <w:r w:rsidRPr="0000513C">
        <w:rPr>
          <w:rFonts w:eastAsia="Times New Roman"/>
          <w:sz w:val="20"/>
          <w:szCs w:val="20"/>
          <w:lang w:eastAsia="en-GB"/>
        </w:rPr>
        <w:t xml:space="preserve"> CreateSpace Independent Publishing Platform (2 April 2018) </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bCs/>
          <w:sz w:val="20"/>
          <w:szCs w:val="20"/>
          <w:lang w:eastAsia="en-GB"/>
        </w:rPr>
        <w:t>Paperback:</w:t>
      </w:r>
      <w:r w:rsidRPr="0000513C">
        <w:rPr>
          <w:rFonts w:eastAsia="Times New Roman"/>
          <w:sz w:val="20"/>
          <w:szCs w:val="20"/>
          <w:lang w:eastAsia="en-GB"/>
        </w:rPr>
        <w:t xml:space="preserve"> 168 pages </w:t>
      </w:r>
    </w:p>
    <w:p w:rsidR="0000513C" w:rsidRPr="0000513C" w:rsidRDefault="0000513C" w:rsidP="0000513C">
      <w:pPr>
        <w:spacing w:after="0" w:line="240" w:lineRule="auto"/>
        <w:jc w:val="both"/>
        <w:rPr>
          <w:rFonts w:eastAsia="Times New Roman"/>
          <w:bCs/>
          <w:sz w:val="20"/>
          <w:szCs w:val="20"/>
          <w:lang w:eastAsia="en-GB"/>
        </w:rPr>
      </w:pPr>
      <w:r w:rsidRPr="0000513C">
        <w:rPr>
          <w:rFonts w:eastAsia="Times New Roman"/>
          <w:bCs/>
          <w:sz w:val="20"/>
          <w:szCs w:val="20"/>
          <w:lang w:eastAsia="en-GB"/>
        </w:rPr>
        <w:t>Also available in Kindle form</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bCs/>
          <w:sz w:val="20"/>
          <w:szCs w:val="20"/>
          <w:lang w:eastAsia="en-GB"/>
        </w:rPr>
        <w:t>ISBN-10:</w:t>
      </w:r>
      <w:r w:rsidRPr="0000513C">
        <w:rPr>
          <w:rFonts w:eastAsia="Times New Roman"/>
          <w:sz w:val="20"/>
          <w:szCs w:val="20"/>
          <w:lang w:eastAsia="en-GB"/>
        </w:rPr>
        <w:t xml:space="preserve"> 1987449800 </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bCs/>
          <w:sz w:val="20"/>
          <w:szCs w:val="20"/>
          <w:lang w:eastAsia="en-GB"/>
        </w:rPr>
        <w:t>ISBN-13:</w:t>
      </w:r>
      <w:r w:rsidRPr="0000513C">
        <w:rPr>
          <w:rFonts w:eastAsia="Times New Roman"/>
          <w:sz w:val="20"/>
          <w:szCs w:val="20"/>
          <w:lang w:eastAsia="en-GB"/>
        </w:rPr>
        <w:t xml:space="preserve"> 978-1987449808 </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bCs/>
          <w:sz w:val="20"/>
          <w:szCs w:val="20"/>
          <w:lang w:eastAsia="en-GB"/>
        </w:rPr>
        <w:t xml:space="preserve">Product Dimensions: </w:t>
      </w:r>
      <w:r w:rsidRPr="0000513C">
        <w:rPr>
          <w:rFonts w:eastAsia="Times New Roman"/>
          <w:sz w:val="20"/>
          <w:szCs w:val="20"/>
          <w:lang w:eastAsia="en-GB"/>
        </w:rPr>
        <w:t xml:space="preserve">13.3 x 1 x 20.3 cm </w:t>
      </w:r>
    </w:p>
    <w:p w:rsidR="0000513C" w:rsidRPr="0000513C" w:rsidRDefault="0000513C" w:rsidP="0000513C">
      <w:pPr>
        <w:spacing w:after="0" w:line="240" w:lineRule="auto"/>
        <w:jc w:val="both"/>
        <w:rPr>
          <w:rFonts w:eastAsia="Adobe Garamond Pro"/>
          <w:color w:val="231F20"/>
          <w:sz w:val="20"/>
          <w:szCs w:val="20"/>
        </w:rPr>
      </w:pPr>
      <w:r w:rsidRPr="0000513C">
        <w:rPr>
          <w:rFonts w:eastAsia="Adobe Garamond Pro"/>
          <w:color w:val="231F20"/>
          <w:spacing w:val="-1"/>
          <w:sz w:val="20"/>
          <w:szCs w:val="20"/>
        </w:rPr>
        <w:t>D</w:t>
      </w:r>
      <w:r w:rsidRPr="0000513C">
        <w:rPr>
          <w:rFonts w:eastAsia="Adobe Garamond Pro"/>
          <w:color w:val="231F20"/>
          <w:sz w:val="20"/>
          <w:szCs w:val="20"/>
        </w:rPr>
        <w:t xml:space="preserve">esigned and typeset </w:t>
      </w:r>
      <w:r w:rsidRPr="0000513C">
        <w:rPr>
          <w:rFonts w:eastAsia="Adobe Garamond Pro"/>
          <w:color w:val="231F20"/>
          <w:spacing w:val="-1"/>
          <w:sz w:val="20"/>
          <w:szCs w:val="20"/>
        </w:rPr>
        <w:t>b</w:t>
      </w:r>
      <w:r w:rsidRPr="0000513C">
        <w:rPr>
          <w:rFonts w:eastAsia="Adobe Garamond Pro"/>
          <w:color w:val="231F20"/>
          <w:sz w:val="20"/>
          <w:szCs w:val="20"/>
        </w:rPr>
        <w:t xml:space="preserve">y Books </w:t>
      </w:r>
      <w:r w:rsidRPr="0000513C">
        <w:rPr>
          <w:rFonts w:eastAsia="Adobe Garamond Pro"/>
          <w:color w:val="231F20"/>
          <w:spacing w:val="-1"/>
          <w:sz w:val="20"/>
          <w:szCs w:val="20"/>
        </w:rPr>
        <w:t>U</w:t>
      </w:r>
      <w:r w:rsidRPr="0000513C">
        <w:rPr>
          <w:rFonts w:eastAsia="Adobe Garamond Pro"/>
          <w:color w:val="231F20"/>
          <w:sz w:val="20"/>
          <w:szCs w:val="20"/>
        </w:rPr>
        <w:t>lster/Libra</w:t>
      </w:r>
      <w:r w:rsidRPr="0000513C">
        <w:rPr>
          <w:rFonts w:eastAsia="Adobe Garamond Pro"/>
          <w:color w:val="231F20"/>
          <w:spacing w:val="4"/>
          <w:sz w:val="20"/>
          <w:szCs w:val="20"/>
        </w:rPr>
        <w:t>r</w:t>
      </w:r>
      <w:r w:rsidRPr="0000513C">
        <w:rPr>
          <w:rFonts w:eastAsia="Adobe Garamond Pro"/>
          <w:color w:val="231F20"/>
          <w:sz w:val="20"/>
          <w:szCs w:val="20"/>
        </w:rPr>
        <w:t xml:space="preserve">y </w:t>
      </w:r>
      <w:r w:rsidRPr="0000513C">
        <w:rPr>
          <w:rFonts w:eastAsia="Adobe Garamond Pro"/>
          <w:color w:val="231F20"/>
          <w:spacing w:val="-4"/>
          <w:sz w:val="20"/>
          <w:szCs w:val="20"/>
        </w:rPr>
        <w:t>I</w:t>
      </w:r>
      <w:r w:rsidRPr="0000513C">
        <w:rPr>
          <w:rFonts w:eastAsia="Adobe Garamond Pro"/>
          <w:color w:val="231F20"/>
          <w:spacing w:val="-2"/>
          <w:sz w:val="20"/>
          <w:szCs w:val="20"/>
        </w:rPr>
        <w:t>r</w:t>
      </w:r>
      <w:r w:rsidRPr="0000513C">
        <w:rPr>
          <w:rFonts w:eastAsia="Adobe Garamond Pro"/>
          <w:color w:val="231F20"/>
          <w:sz w:val="20"/>
          <w:szCs w:val="20"/>
        </w:rPr>
        <w:t xml:space="preserve">eland </w:t>
      </w:r>
      <w:r w:rsidRPr="0000513C">
        <w:rPr>
          <w:rFonts w:eastAsia="Adobe Garamond Pro"/>
          <w:color w:val="231F20"/>
          <w:spacing w:val="-5"/>
          <w:sz w:val="20"/>
          <w:szCs w:val="20"/>
        </w:rPr>
        <w:t>M</w:t>
      </w:r>
      <w:r w:rsidRPr="0000513C">
        <w:rPr>
          <w:rFonts w:eastAsia="Adobe Garamond Pro"/>
          <w:color w:val="231F20"/>
          <w:sz w:val="20"/>
          <w:szCs w:val="20"/>
        </w:rPr>
        <w:t>edia</w:t>
      </w:r>
    </w:p>
    <w:p w:rsidR="0000513C" w:rsidRPr="0000513C" w:rsidRDefault="0000513C" w:rsidP="0000513C">
      <w:pPr>
        <w:spacing w:after="0" w:line="240" w:lineRule="auto"/>
        <w:jc w:val="both"/>
        <w:rPr>
          <w:rFonts w:eastAsia="Adobe Garamond Pro"/>
          <w:color w:val="231F20"/>
          <w:position w:val="3"/>
          <w:sz w:val="20"/>
          <w:szCs w:val="20"/>
        </w:rPr>
      </w:pPr>
      <w:r w:rsidRPr="0000513C">
        <w:rPr>
          <w:rFonts w:eastAsia="Adobe Garamond Pro"/>
          <w:color w:val="231F20"/>
          <w:sz w:val="20"/>
          <w:szCs w:val="20"/>
        </w:rPr>
        <w:t>C</w:t>
      </w:r>
      <w:r w:rsidRPr="0000513C">
        <w:rPr>
          <w:rFonts w:eastAsia="Adobe Garamond Pro"/>
          <w:color w:val="231F20"/>
          <w:spacing w:val="-4"/>
          <w:sz w:val="20"/>
          <w:szCs w:val="20"/>
        </w:rPr>
        <w:t>o</w:t>
      </w:r>
      <w:r w:rsidRPr="0000513C">
        <w:rPr>
          <w:rFonts w:eastAsia="Adobe Garamond Pro"/>
          <w:color w:val="231F20"/>
          <w:spacing w:val="-1"/>
          <w:sz w:val="20"/>
          <w:szCs w:val="20"/>
        </w:rPr>
        <w:t>v</w:t>
      </w:r>
      <w:r w:rsidRPr="0000513C">
        <w:rPr>
          <w:rFonts w:eastAsia="Adobe Garamond Pro"/>
          <w:color w:val="231F20"/>
          <w:sz w:val="20"/>
          <w:szCs w:val="20"/>
        </w:rPr>
        <w:t xml:space="preserve">er photograph of the aftermath of the </w:t>
      </w:r>
      <w:r w:rsidRPr="0000513C">
        <w:rPr>
          <w:rFonts w:eastAsia="Adobe Garamond Pro"/>
          <w:color w:val="231F20"/>
          <w:spacing w:val="-1"/>
          <w:sz w:val="20"/>
          <w:szCs w:val="20"/>
        </w:rPr>
        <w:t>E</w:t>
      </w:r>
      <w:r w:rsidRPr="0000513C">
        <w:rPr>
          <w:rFonts w:eastAsia="Adobe Garamond Pro"/>
          <w:color w:val="231F20"/>
          <w:sz w:val="20"/>
          <w:szCs w:val="20"/>
        </w:rPr>
        <w:t xml:space="preserve">nniskillen bomb in </w:t>
      </w:r>
      <w:r w:rsidRPr="0000513C">
        <w:rPr>
          <w:rFonts w:eastAsia="Adobe Garamond Pro"/>
          <w:color w:val="231F20"/>
          <w:position w:val="3"/>
          <w:sz w:val="20"/>
          <w:szCs w:val="20"/>
        </w:rPr>
        <w:t>1987 cou</w:t>
      </w:r>
      <w:r w:rsidRPr="0000513C">
        <w:rPr>
          <w:rFonts w:eastAsia="Adobe Garamond Pro"/>
          <w:color w:val="231F20"/>
          <w:spacing w:val="2"/>
          <w:position w:val="3"/>
          <w:sz w:val="20"/>
          <w:szCs w:val="20"/>
        </w:rPr>
        <w:t>r</w:t>
      </w:r>
      <w:r w:rsidRPr="0000513C">
        <w:rPr>
          <w:rFonts w:eastAsia="Adobe Garamond Pro"/>
          <w:color w:val="231F20"/>
          <w:position w:val="3"/>
          <w:sz w:val="20"/>
          <w:szCs w:val="20"/>
        </w:rPr>
        <w:t xml:space="preserve">tesy of Raymond </w:t>
      </w:r>
      <w:r w:rsidRPr="0000513C">
        <w:rPr>
          <w:rFonts w:eastAsia="Adobe Garamond Pro"/>
          <w:color w:val="231F20"/>
          <w:spacing w:val="-7"/>
          <w:position w:val="3"/>
          <w:sz w:val="20"/>
          <w:szCs w:val="20"/>
        </w:rPr>
        <w:t>H</w:t>
      </w:r>
      <w:r w:rsidRPr="0000513C">
        <w:rPr>
          <w:rFonts w:eastAsia="Adobe Garamond Pro"/>
          <w:color w:val="231F20"/>
          <w:position w:val="3"/>
          <w:sz w:val="20"/>
          <w:szCs w:val="20"/>
        </w:rPr>
        <w:t>umph</w:t>
      </w:r>
      <w:r w:rsidRPr="0000513C">
        <w:rPr>
          <w:rFonts w:eastAsia="Adobe Garamond Pro"/>
          <w:color w:val="231F20"/>
          <w:spacing w:val="-2"/>
          <w:position w:val="3"/>
          <w:sz w:val="20"/>
          <w:szCs w:val="20"/>
        </w:rPr>
        <w:t>r</w:t>
      </w:r>
      <w:r w:rsidRPr="0000513C">
        <w:rPr>
          <w:rFonts w:eastAsia="Adobe Garamond Pro"/>
          <w:color w:val="231F20"/>
          <w:position w:val="3"/>
          <w:sz w:val="20"/>
          <w:szCs w:val="20"/>
        </w:rPr>
        <w:t xml:space="preserve">eys, </w:t>
      </w:r>
      <w:r w:rsidRPr="0000513C">
        <w:rPr>
          <w:rFonts w:eastAsia="Adobe Garamond Pro"/>
          <w:color w:val="231F20"/>
          <w:spacing w:val="-1"/>
          <w:position w:val="3"/>
          <w:sz w:val="20"/>
          <w:szCs w:val="20"/>
        </w:rPr>
        <w:t>E</w:t>
      </w:r>
      <w:r w:rsidRPr="0000513C">
        <w:rPr>
          <w:rFonts w:eastAsia="Adobe Garamond Pro"/>
          <w:color w:val="231F20"/>
          <w:position w:val="3"/>
          <w:sz w:val="20"/>
          <w:szCs w:val="20"/>
        </w:rPr>
        <w:t>nniskillen</w:t>
      </w:r>
    </w:p>
    <w:p w:rsidR="0000513C" w:rsidRPr="0000513C" w:rsidRDefault="001A52EE" w:rsidP="0000513C">
      <w:pPr>
        <w:spacing w:after="0" w:line="240" w:lineRule="auto"/>
        <w:rPr>
          <w:sz w:val="20"/>
          <w:szCs w:val="20"/>
        </w:rPr>
      </w:pPr>
      <w:hyperlink r:id="rId5" w:tgtFrame="_blank" w:history="1">
        <w:r w:rsidR="0000513C" w:rsidRPr="0000513C">
          <w:rPr>
            <w:color w:val="0000FF" w:themeColor="hyperlink"/>
            <w:sz w:val="20"/>
            <w:szCs w:val="20"/>
            <w:u w:val="single"/>
          </w:rPr>
          <w:t>https://amzn.to/2Ef1OgR</w:t>
        </w:r>
      </w:hyperlink>
      <w:r w:rsidR="0000513C" w:rsidRPr="0000513C">
        <w:rPr>
          <w:color w:val="0000FF" w:themeColor="hyperlink"/>
          <w:sz w:val="20"/>
          <w:szCs w:val="20"/>
          <w:u w:val="single"/>
        </w:rPr>
        <w:t xml:space="preserve"> </w:t>
      </w:r>
      <w:r w:rsidR="0000513C" w:rsidRPr="0000513C">
        <w:rPr>
          <w:sz w:val="20"/>
          <w:szCs w:val="20"/>
        </w:rPr>
        <w:t>Paperback</w:t>
      </w:r>
    </w:p>
    <w:p w:rsidR="0000513C" w:rsidRDefault="001A52EE" w:rsidP="0000513C">
      <w:pPr>
        <w:spacing w:after="0" w:line="240" w:lineRule="auto"/>
        <w:rPr>
          <w:sz w:val="20"/>
          <w:szCs w:val="20"/>
        </w:rPr>
      </w:pPr>
      <w:hyperlink r:id="rId6" w:history="1">
        <w:r w:rsidR="0000513C" w:rsidRPr="0000513C">
          <w:rPr>
            <w:color w:val="0000FF" w:themeColor="hyperlink"/>
            <w:sz w:val="20"/>
            <w:szCs w:val="20"/>
            <w:u w:val="single"/>
          </w:rPr>
          <w:t>https://amzn.to/2IoGE29</w:t>
        </w:r>
      </w:hyperlink>
      <w:r w:rsidR="0000513C" w:rsidRPr="0000513C">
        <w:rPr>
          <w:sz w:val="20"/>
          <w:szCs w:val="20"/>
        </w:rPr>
        <w:t xml:space="preserve"> Kindle</w:t>
      </w:r>
    </w:p>
    <w:p w:rsidR="0000513C" w:rsidRPr="0000513C" w:rsidRDefault="0000513C" w:rsidP="0000513C">
      <w:pPr>
        <w:spacing w:after="0" w:line="240" w:lineRule="auto"/>
        <w:rPr>
          <w:rFonts w:asciiTheme="minorHAnsi" w:hAnsiTheme="minorHAnsi" w:cstheme="minorBidi"/>
          <w:b/>
          <w:sz w:val="20"/>
          <w:szCs w:val="20"/>
        </w:rPr>
      </w:pPr>
    </w:p>
    <w:p w:rsidR="0000513C" w:rsidRDefault="0000513C" w:rsidP="0000513C">
      <w:pPr>
        <w:spacing w:before="100" w:beforeAutospacing="1" w:after="0" w:afterAutospacing="1" w:line="240" w:lineRule="auto"/>
        <w:jc w:val="both"/>
        <w:rPr>
          <w:rFonts w:eastAsia="Times New Roman"/>
          <w:b/>
          <w:sz w:val="20"/>
          <w:szCs w:val="20"/>
          <w:lang w:eastAsia="en-GB"/>
        </w:rPr>
      </w:pPr>
      <w:r w:rsidRPr="0000513C">
        <w:rPr>
          <w:rFonts w:eastAsia="Times New Roman"/>
          <w:b/>
          <w:sz w:val="20"/>
          <w:szCs w:val="20"/>
          <w:lang w:eastAsia="en-GB"/>
        </w:rPr>
        <w:t xml:space="preserve">Cover </w:t>
      </w:r>
      <w:r>
        <w:rPr>
          <w:rFonts w:eastAsia="Times New Roman"/>
          <w:b/>
          <w:sz w:val="20"/>
          <w:szCs w:val="20"/>
          <w:lang w:eastAsia="en-GB"/>
        </w:rPr>
        <w:t>text:</w:t>
      </w:r>
    </w:p>
    <w:p w:rsidR="0000513C" w:rsidRPr="0000513C" w:rsidRDefault="0000513C" w:rsidP="0000513C">
      <w:pPr>
        <w:pStyle w:val="NoSpacing"/>
        <w:rPr>
          <w:b/>
          <w:sz w:val="20"/>
          <w:szCs w:val="20"/>
          <w:lang w:eastAsia="en-GB"/>
        </w:rPr>
      </w:pPr>
      <w:r w:rsidRPr="0000513C">
        <w:rPr>
          <w:b/>
          <w:sz w:val="20"/>
          <w:szCs w:val="20"/>
          <w:lang w:eastAsia="en-GB"/>
        </w:rPr>
        <w:t>The Shadow of the Past</w:t>
      </w:r>
    </w:p>
    <w:p w:rsidR="0000513C" w:rsidRPr="0000513C" w:rsidRDefault="0000513C" w:rsidP="0000513C">
      <w:pPr>
        <w:pStyle w:val="NoSpacing"/>
        <w:rPr>
          <w:rFonts w:eastAsia="Times New Roman"/>
          <w:sz w:val="20"/>
          <w:szCs w:val="20"/>
          <w:lang w:eastAsia="en-GB"/>
        </w:rPr>
      </w:pPr>
      <w:r w:rsidRPr="0000513C">
        <w:rPr>
          <w:rFonts w:eastAsia="Times New Roman"/>
          <w:sz w:val="20"/>
          <w:szCs w:val="20"/>
          <w:lang w:eastAsia="en-GB"/>
        </w:rPr>
        <w:t xml:space="preserve">This book is in large part the proceedings of a conference on Legacy Legislation at Malone House in Belfast on 3 March 2018. The speakers and authors published here are from a range of backgrounds and political outlooks. What they share in common is a deep concern over the inadequate or one-sided political, legal and academic agenda on the matter of addressing the Past in Northern Ireland. </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They also share a belief in the necessity of the rule of law and the protection of civil liberties.</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i/>
          <w:sz w:val="20"/>
          <w:szCs w:val="20"/>
          <w:lang w:eastAsia="en-GB"/>
        </w:rPr>
        <w:t>What to do about the Past in Northern Ireland?</w:t>
      </w:r>
      <w:r w:rsidRPr="0000513C">
        <w:rPr>
          <w:rFonts w:eastAsia="Times New Roman"/>
          <w:sz w:val="20"/>
          <w:szCs w:val="20"/>
          <w:lang w:eastAsia="en-GB"/>
        </w:rPr>
        <w:t xml:space="preserve"> is refreshingly different from all other publications on the matter, particularly those issued by NGOs and the universities. It fills a huge gap which we hope can reshape the agenda and the direction of travel on legislation. </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 xml:space="preserve">The notional Legacy Bill and its proposed Haass-type bodies are deeply flawed and over-complex, indeed unworkable. They do not serve the needs of victims. We believe it would be preferable that the issues are approached in different, simpler and better ways. To that end we aim to develop a new consensus on alternative structures to address the Past. </w:t>
      </w:r>
    </w:p>
    <w:p w:rsidR="0000513C" w:rsidRPr="0000513C" w:rsidRDefault="0000513C" w:rsidP="0000513C">
      <w:pPr>
        <w:spacing w:after="0" w:line="240" w:lineRule="auto"/>
        <w:jc w:val="both"/>
        <w:rPr>
          <w:rFonts w:eastAsia="Times New Roman"/>
          <w:b/>
          <w:sz w:val="20"/>
          <w:szCs w:val="20"/>
          <w:lang w:eastAsia="en-GB"/>
        </w:rPr>
      </w:pPr>
      <w:r w:rsidRPr="0000513C">
        <w:rPr>
          <w:rFonts w:eastAsia="Times New Roman"/>
          <w:b/>
          <w:sz w:val="20"/>
          <w:szCs w:val="20"/>
          <w:lang w:eastAsia="en-GB"/>
        </w:rPr>
        <w:lastRenderedPageBreak/>
        <w:t>Foreword</w:t>
      </w:r>
      <w:r>
        <w:rPr>
          <w:rFonts w:eastAsia="Times New Roman"/>
          <w:b/>
          <w:sz w:val="20"/>
          <w:szCs w:val="20"/>
          <w:lang w:eastAsia="en-GB"/>
        </w:rPr>
        <w:t>:</w:t>
      </w:r>
    </w:p>
    <w:p w:rsidR="0000513C" w:rsidRPr="0000513C" w:rsidRDefault="0000513C" w:rsidP="0000513C">
      <w:pPr>
        <w:spacing w:after="0" w:line="240" w:lineRule="auto"/>
        <w:jc w:val="both"/>
        <w:rPr>
          <w:rFonts w:eastAsia="Times New Roman"/>
          <w:sz w:val="20"/>
          <w:szCs w:val="20"/>
          <w:lang w:eastAsia="en-GB"/>
        </w:rPr>
      </w:pP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 xml:space="preserve">This collection of papers stems from a conference on 3 March 2018 in Belfast’s Malone House. The range of legal, academic and political speakers was impressive more so because it is rarely heard. It is not the predominant voice in the media and certainly not the Academy or the funded sectors. </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Until the (initial) Loughinisland judgement earlier this year, in a judicial review brought by retired police officers, it was never heard in the courts. And those courts, our Supreme Court and the European Court of Human Rights (ECHR) are awash with Legacy cases and inquests.</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 xml:space="preserve">We aimed to change that at Malone House by developing a new consensus on alternate ways to address the Past, ones that can bring peace of mind to innocent victims and justice – so far as that is possible. </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By publishing our papers we hope to reshape the agenda and indeed the direction of travel. We hope to see this book read and seen far and wide but most especially in Government, law schools and at Westminster where these matters are again being decided.</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The long-promised Legacy Bill remains unpublished at the time of writing. Its proposed Haass type bodies like HIU are deeply flawed and mindlessly complex</w:t>
      </w:r>
      <w:r>
        <w:rPr>
          <w:rFonts w:eastAsia="Times New Roman"/>
          <w:sz w:val="20"/>
          <w:szCs w:val="20"/>
          <w:lang w:eastAsia="en-GB"/>
        </w:rPr>
        <w:t>. W</w:t>
      </w:r>
      <w:r w:rsidRPr="0000513C">
        <w:rPr>
          <w:rFonts w:eastAsia="Times New Roman"/>
          <w:sz w:val="20"/>
          <w:szCs w:val="20"/>
          <w:lang w:eastAsia="en-GB"/>
        </w:rPr>
        <w:t xml:space="preserve">e believe </w:t>
      </w:r>
      <w:r>
        <w:rPr>
          <w:rFonts w:eastAsia="Times New Roman"/>
          <w:sz w:val="20"/>
          <w:szCs w:val="20"/>
          <w:lang w:eastAsia="en-GB"/>
        </w:rPr>
        <w:t xml:space="preserve">it </w:t>
      </w:r>
      <w:r w:rsidRPr="0000513C">
        <w:rPr>
          <w:rFonts w:eastAsia="Times New Roman"/>
          <w:sz w:val="20"/>
          <w:szCs w:val="20"/>
          <w:lang w:eastAsia="en-GB"/>
        </w:rPr>
        <w:t xml:space="preserve">would be preferable </w:t>
      </w:r>
      <w:r>
        <w:rPr>
          <w:rFonts w:eastAsia="Times New Roman"/>
          <w:sz w:val="20"/>
          <w:szCs w:val="20"/>
          <w:lang w:eastAsia="en-GB"/>
        </w:rPr>
        <w:t>that</w:t>
      </w:r>
      <w:r w:rsidRPr="0000513C">
        <w:rPr>
          <w:rFonts w:eastAsia="Times New Roman"/>
          <w:sz w:val="20"/>
          <w:szCs w:val="20"/>
          <w:lang w:eastAsia="en-GB"/>
        </w:rPr>
        <w:t xml:space="preserve"> the issues </w:t>
      </w:r>
      <w:r>
        <w:rPr>
          <w:rFonts w:eastAsia="Times New Roman"/>
          <w:sz w:val="20"/>
          <w:szCs w:val="20"/>
          <w:lang w:eastAsia="en-GB"/>
        </w:rPr>
        <w:t xml:space="preserve">are </w:t>
      </w:r>
      <w:r w:rsidRPr="0000513C">
        <w:rPr>
          <w:rFonts w:eastAsia="Times New Roman"/>
          <w:sz w:val="20"/>
          <w:szCs w:val="20"/>
          <w:lang w:eastAsia="en-GB"/>
        </w:rPr>
        <w:t xml:space="preserve">approached in different, simpler and better ways. </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The collapse of the NI Assembly and the fact that it had ceased to be a legislative body anyway, expatriating controversial law making – as with Legacy – to London means our perspective and actions have to refocus.</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The view that the investigations of the Past can be time-limited by Parliament to five years is entirely misplaced. One opinion expressed from the floor at Malone House was that they would take 500 years. Given the refusal by the Foreign Office, and the Government generally, to argue otherwise, the dogma of ECHR Article 2 compliance on adequate investigations, goes unchal</w:t>
      </w:r>
      <w:r>
        <w:rPr>
          <w:rFonts w:eastAsia="Times New Roman"/>
          <w:sz w:val="20"/>
          <w:szCs w:val="20"/>
          <w:lang w:eastAsia="en-GB"/>
        </w:rPr>
        <w:t>lenged. The courts have no back</w:t>
      </w:r>
      <w:r w:rsidRPr="0000513C">
        <w:rPr>
          <w:rFonts w:eastAsia="Times New Roman"/>
          <w:sz w:val="20"/>
          <w:szCs w:val="20"/>
          <w:lang w:eastAsia="en-GB"/>
        </w:rPr>
        <w:t xml:space="preserve">stop and that version of Article 2 will remain supreme. </w:t>
      </w: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 xml:space="preserve">If left alone, it certainly means decades of litigation, as every inquest can be re-opened and probably will. And then re-opened again, alongside every ‘concluded’ HET case. (HET was actually a Strasbourg compromise. They can happen.) Otherwise, the shadow of the past can never be lifted. The past will be our future and history </w:t>
      </w:r>
      <w:r w:rsidRPr="0000513C">
        <w:rPr>
          <w:rFonts w:eastAsia="Times New Roman"/>
          <w:sz w:val="20"/>
          <w:szCs w:val="20"/>
          <w:u w:val="single"/>
          <w:lang w:eastAsia="en-GB"/>
        </w:rPr>
        <w:t>will</w:t>
      </w:r>
      <w:r w:rsidRPr="0000513C">
        <w:rPr>
          <w:rFonts w:eastAsia="Times New Roman"/>
          <w:sz w:val="20"/>
          <w:szCs w:val="20"/>
          <w:lang w:eastAsia="en-GB"/>
        </w:rPr>
        <w:t xml:space="preserve"> be rewritten.</w:t>
      </w:r>
    </w:p>
    <w:p w:rsidR="0000513C" w:rsidRPr="0000513C" w:rsidRDefault="0000513C" w:rsidP="0000513C">
      <w:pPr>
        <w:spacing w:after="0" w:line="240" w:lineRule="auto"/>
        <w:jc w:val="both"/>
        <w:rPr>
          <w:rFonts w:eastAsia="Times New Roman"/>
          <w:sz w:val="20"/>
          <w:szCs w:val="20"/>
          <w:lang w:eastAsia="en-GB"/>
        </w:rPr>
      </w:pP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 xml:space="preserve">My thanks over and above those to the contributors here, go to Nigel Macauley and Richard Kennedy for arrangements at Malone House and to Derek Rowlinson of Library Ireland Media for this book’s typesetting and speedy production. </w:t>
      </w:r>
    </w:p>
    <w:p w:rsidR="0000513C" w:rsidRPr="0000513C" w:rsidRDefault="0000513C" w:rsidP="0000513C">
      <w:pPr>
        <w:spacing w:after="0" w:line="240" w:lineRule="auto"/>
        <w:jc w:val="both"/>
        <w:rPr>
          <w:rFonts w:eastAsia="Times New Roman"/>
          <w:sz w:val="20"/>
          <w:szCs w:val="20"/>
          <w:lang w:eastAsia="en-GB"/>
        </w:rPr>
      </w:pP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Jeffrey Dudgeon (Editor for Malone House Group)</w:t>
      </w:r>
    </w:p>
    <w:p w:rsidR="0000513C" w:rsidRPr="0000513C" w:rsidRDefault="0000513C" w:rsidP="0000513C">
      <w:pPr>
        <w:spacing w:after="0" w:line="240" w:lineRule="auto"/>
        <w:jc w:val="both"/>
        <w:rPr>
          <w:rFonts w:eastAsia="Times New Roman"/>
          <w:sz w:val="20"/>
          <w:szCs w:val="20"/>
          <w:lang w:eastAsia="en-GB"/>
        </w:rPr>
      </w:pPr>
    </w:p>
    <w:p w:rsidR="0000513C" w:rsidRPr="0000513C" w:rsidRDefault="0000513C" w:rsidP="0000513C">
      <w:pPr>
        <w:spacing w:after="0" w:line="240" w:lineRule="auto"/>
        <w:jc w:val="both"/>
        <w:rPr>
          <w:rFonts w:eastAsia="Times New Roman"/>
          <w:sz w:val="20"/>
          <w:szCs w:val="20"/>
          <w:lang w:eastAsia="en-GB"/>
        </w:rPr>
      </w:pPr>
      <w:r w:rsidRPr="0000513C">
        <w:rPr>
          <w:rFonts w:eastAsia="Times New Roman"/>
          <w:sz w:val="20"/>
          <w:szCs w:val="20"/>
          <w:lang w:eastAsia="en-GB"/>
        </w:rPr>
        <w:t>24 March 2018</w:t>
      </w:r>
    </w:p>
    <w:p w:rsidR="0000513C" w:rsidRPr="0000513C" w:rsidRDefault="0000513C" w:rsidP="0000513C">
      <w:pPr>
        <w:spacing w:after="0" w:line="240" w:lineRule="auto"/>
        <w:jc w:val="both"/>
        <w:rPr>
          <w:rFonts w:eastAsia="Times New Roman"/>
          <w:sz w:val="28"/>
          <w:szCs w:val="28"/>
          <w:lang w:eastAsia="en-GB"/>
        </w:rPr>
      </w:pPr>
    </w:p>
    <w:p w:rsidR="0000513C" w:rsidRDefault="0000513C" w:rsidP="00BC2FD4">
      <w:pPr>
        <w:pStyle w:val="NoSpacing"/>
      </w:pPr>
    </w:p>
    <w:p w:rsidR="0000513C" w:rsidRDefault="0000513C" w:rsidP="00BC2FD4">
      <w:pPr>
        <w:pStyle w:val="NoSpacing"/>
      </w:pPr>
    </w:p>
    <w:sectPr w:rsidR="00005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13"/>
    <w:rsid w:val="0000513C"/>
    <w:rsid w:val="001A52EE"/>
    <w:rsid w:val="003969D9"/>
    <w:rsid w:val="005A5A13"/>
    <w:rsid w:val="00896FD5"/>
    <w:rsid w:val="00AB677D"/>
    <w:rsid w:val="00BC2FD4"/>
    <w:rsid w:val="00ED1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F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mzn.to/2IoGE29" TargetMode="External"/><Relationship Id="rId5" Type="http://schemas.openxmlformats.org/officeDocument/2006/relationships/hyperlink" Target="https://amzn.to/2Ef1O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6</cp:revision>
  <cp:lastPrinted>2018-10-04T12:52:00Z</cp:lastPrinted>
  <dcterms:created xsi:type="dcterms:W3CDTF">2018-10-04T12:24:00Z</dcterms:created>
  <dcterms:modified xsi:type="dcterms:W3CDTF">2021-02-21T18:06:00Z</dcterms:modified>
</cp:coreProperties>
</file>