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51E" w:rsidRPr="00791323" w:rsidRDefault="002A251E" w:rsidP="00791323">
      <w:pPr>
        <w:tabs>
          <w:tab w:val="left" w:pos="1843"/>
        </w:tabs>
        <w:jc w:val="center"/>
        <w:outlineLvl w:val="0"/>
        <w:rPr>
          <w:sz w:val="28"/>
          <w:szCs w:val="28"/>
        </w:rPr>
      </w:pPr>
      <w:r w:rsidRPr="00791323">
        <w:rPr>
          <w:sz w:val="28"/>
          <w:szCs w:val="28"/>
        </w:rPr>
        <w:t>The requirement of compliance with Article 2 of the European Convention on Human Rights in legacy investigations in Northern Ireland</w:t>
      </w:r>
    </w:p>
    <w:p w:rsidR="002A251E" w:rsidRPr="00791323" w:rsidRDefault="002A251E" w:rsidP="00791323">
      <w:pPr>
        <w:tabs>
          <w:tab w:val="left" w:pos="1843"/>
        </w:tabs>
        <w:jc w:val="center"/>
        <w:outlineLvl w:val="0"/>
        <w:rPr>
          <w:sz w:val="28"/>
          <w:szCs w:val="28"/>
        </w:rPr>
      </w:pPr>
    </w:p>
    <w:p w:rsidR="00F32C37" w:rsidRPr="00791323" w:rsidRDefault="002A251E" w:rsidP="00791323">
      <w:pPr>
        <w:tabs>
          <w:tab w:val="left" w:pos="1843"/>
        </w:tabs>
        <w:jc w:val="center"/>
        <w:outlineLvl w:val="0"/>
        <w:rPr>
          <w:sz w:val="28"/>
          <w:szCs w:val="28"/>
        </w:rPr>
      </w:pPr>
      <w:r w:rsidRPr="00791323">
        <w:rPr>
          <w:sz w:val="28"/>
          <w:szCs w:val="28"/>
        </w:rPr>
        <w:t xml:space="preserve">Does </w:t>
      </w:r>
      <w:r w:rsidR="00F32C37" w:rsidRPr="00791323">
        <w:rPr>
          <w:sz w:val="28"/>
          <w:szCs w:val="28"/>
        </w:rPr>
        <w:t>Operation Kenova</w:t>
      </w:r>
      <w:r w:rsidRPr="00791323">
        <w:rPr>
          <w:sz w:val="28"/>
          <w:szCs w:val="28"/>
        </w:rPr>
        <w:t xml:space="preserve"> comply?</w:t>
      </w:r>
    </w:p>
    <w:p w:rsidR="00F32C37" w:rsidRPr="00791323" w:rsidRDefault="00F32C37" w:rsidP="00791323">
      <w:pPr>
        <w:jc w:val="center"/>
        <w:outlineLvl w:val="0"/>
        <w:rPr>
          <w:sz w:val="28"/>
          <w:szCs w:val="28"/>
        </w:rPr>
      </w:pPr>
    </w:p>
    <w:p w:rsidR="002A251E" w:rsidRPr="00791323" w:rsidRDefault="002A251E" w:rsidP="00791323">
      <w:pPr>
        <w:jc w:val="center"/>
        <w:outlineLvl w:val="0"/>
        <w:rPr>
          <w:sz w:val="28"/>
          <w:szCs w:val="28"/>
        </w:rPr>
      </w:pPr>
    </w:p>
    <w:p w:rsidR="00F32C37" w:rsidRPr="00791323" w:rsidRDefault="008C517B" w:rsidP="00791323">
      <w:pPr>
        <w:jc w:val="center"/>
        <w:outlineLvl w:val="0"/>
        <w:rPr>
          <w:sz w:val="28"/>
          <w:szCs w:val="28"/>
        </w:rPr>
      </w:pPr>
      <w:r w:rsidRPr="00791323">
        <w:rPr>
          <w:sz w:val="28"/>
          <w:szCs w:val="28"/>
        </w:rPr>
        <w:t xml:space="preserve">Note &amp; </w:t>
      </w:r>
      <w:r w:rsidR="00F32C37" w:rsidRPr="00791323">
        <w:rPr>
          <w:sz w:val="28"/>
          <w:szCs w:val="28"/>
        </w:rPr>
        <w:t>Que</w:t>
      </w:r>
      <w:r w:rsidRPr="00791323">
        <w:rPr>
          <w:sz w:val="28"/>
          <w:szCs w:val="28"/>
        </w:rPr>
        <w:t>ries</w:t>
      </w:r>
    </w:p>
    <w:p w:rsidR="008A1AD1" w:rsidRPr="00791323" w:rsidRDefault="008A1AD1" w:rsidP="00791323">
      <w:pPr>
        <w:jc w:val="center"/>
        <w:outlineLvl w:val="0"/>
        <w:rPr>
          <w:sz w:val="28"/>
          <w:szCs w:val="28"/>
        </w:rPr>
      </w:pPr>
    </w:p>
    <w:p w:rsidR="008A1AD1" w:rsidRPr="00791323" w:rsidRDefault="008A1AD1" w:rsidP="00791323">
      <w:pPr>
        <w:jc w:val="center"/>
        <w:outlineLvl w:val="0"/>
        <w:rPr>
          <w:i/>
          <w:sz w:val="28"/>
          <w:szCs w:val="28"/>
        </w:rPr>
      </w:pPr>
      <w:r w:rsidRPr="00791323">
        <w:rPr>
          <w:i/>
          <w:sz w:val="28"/>
          <w:szCs w:val="28"/>
        </w:rPr>
        <w:t>Peter Smith CBE QC &amp; Neil Faris Solicitor</w:t>
      </w:r>
    </w:p>
    <w:p w:rsidR="008A1AD1" w:rsidRPr="00791323" w:rsidRDefault="008A1AD1" w:rsidP="00791323">
      <w:pPr>
        <w:jc w:val="center"/>
        <w:outlineLvl w:val="0"/>
        <w:rPr>
          <w:i/>
          <w:sz w:val="28"/>
          <w:szCs w:val="28"/>
        </w:rPr>
      </w:pPr>
    </w:p>
    <w:p w:rsidR="008A1AD1" w:rsidRPr="006451EC" w:rsidRDefault="006B4A35" w:rsidP="00791323">
      <w:pPr>
        <w:jc w:val="center"/>
        <w:outlineLvl w:val="0"/>
        <w:rPr>
          <w:b w:val="0"/>
          <w:szCs w:val="24"/>
        </w:rPr>
      </w:pPr>
      <w:r w:rsidRPr="006451EC">
        <w:rPr>
          <w:b w:val="0"/>
          <w:szCs w:val="24"/>
        </w:rPr>
        <w:t>2</w:t>
      </w:r>
      <w:r w:rsidR="00976905" w:rsidRPr="006451EC">
        <w:rPr>
          <w:b w:val="0"/>
          <w:szCs w:val="24"/>
        </w:rPr>
        <w:t>8</w:t>
      </w:r>
      <w:r w:rsidR="008A1AD1" w:rsidRPr="006451EC">
        <w:rPr>
          <w:b w:val="0"/>
          <w:szCs w:val="24"/>
        </w:rPr>
        <w:t xml:space="preserve"> February 2021</w:t>
      </w:r>
    </w:p>
    <w:p w:rsidR="002A251E" w:rsidRPr="008A1AD1" w:rsidRDefault="002A251E" w:rsidP="00014EFC">
      <w:pPr>
        <w:jc w:val="both"/>
        <w:outlineLvl w:val="0"/>
        <w:rPr>
          <w:i/>
        </w:rPr>
      </w:pPr>
    </w:p>
    <w:p w:rsidR="00F32C37" w:rsidRDefault="00F32C37" w:rsidP="00014EFC">
      <w:pPr>
        <w:jc w:val="both"/>
        <w:outlineLvl w:val="0"/>
      </w:pPr>
    </w:p>
    <w:p w:rsidR="00CB246C" w:rsidRDefault="00CB246C" w:rsidP="00014EFC">
      <w:pPr>
        <w:jc w:val="both"/>
        <w:outlineLvl w:val="0"/>
        <w:rPr>
          <w:b w:val="0"/>
          <w:i/>
        </w:rPr>
      </w:pPr>
      <w:r>
        <w:rPr>
          <w:b w:val="0"/>
          <w:i/>
        </w:rPr>
        <w:t xml:space="preserve">Reason for </w:t>
      </w:r>
      <w:r w:rsidRPr="00902AFA">
        <w:rPr>
          <w:b w:val="0"/>
          <w:i/>
        </w:rPr>
        <w:t>preparation</w:t>
      </w:r>
      <w:r>
        <w:rPr>
          <w:b w:val="0"/>
          <w:i/>
        </w:rPr>
        <w:t xml:space="preserve"> of the Note &amp; Queries</w:t>
      </w:r>
    </w:p>
    <w:p w:rsidR="00CB246C" w:rsidRDefault="00CB246C" w:rsidP="00014EFC">
      <w:pPr>
        <w:jc w:val="both"/>
        <w:outlineLvl w:val="0"/>
        <w:rPr>
          <w:b w:val="0"/>
          <w:i/>
        </w:rPr>
      </w:pPr>
    </w:p>
    <w:p w:rsidR="00CB246C" w:rsidRPr="00CB246C" w:rsidRDefault="00572BCC" w:rsidP="00014EFC">
      <w:pPr>
        <w:jc w:val="both"/>
        <w:outlineLvl w:val="0"/>
        <w:rPr>
          <w:b w:val="0"/>
        </w:rPr>
      </w:pPr>
      <w:r>
        <w:rPr>
          <w:b w:val="0"/>
        </w:rPr>
        <w:t xml:space="preserve">A meeting was held on 11 November 2020 </w:t>
      </w:r>
      <w:r w:rsidR="00791323">
        <w:rPr>
          <w:b w:val="0"/>
        </w:rPr>
        <w:t xml:space="preserve">in Belfast </w:t>
      </w:r>
      <w:r>
        <w:rPr>
          <w:b w:val="0"/>
        </w:rPr>
        <w:t xml:space="preserve">between Jon Boutcher, the Officer in Overall Charge of Operation Kenova and participants in the Malone House Group. </w:t>
      </w:r>
      <w:r w:rsidR="00DE57B6">
        <w:rPr>
          <w:b w:val="0"/>
        </w:rPr>
        <w:t>Reference was</w:t>
      </w:r>
      <w:r>
        <w:rPr>
          <w:b w:val="0"/>
        </w:rPr>
        <w:t xml:space="preserve"> made to the </w:t>
      </w:r>
      <w:r w:rsidR="008569AE">
        <w:rPr>
          <w:b w:val="0"/>
        </w:rPr>
        <w:t>‘Independent Review of Article 2 Compliance’</w:t>
      </w:r>
      <w:r>
        <w:rPr>
          <w:b w:val="0"/>
        </w:rPr>
        <w:t xml:space="preserve"> </w:t>
      </w:r>
      <w:r w:rsidR="008569AE">
        <w:rPr>
          <w:b w:val="0"/>
        </w:rPr>
        <w:t>carried out by</w:t>
      </w:r>
      <w:r w:rsidR="00DE57B6">
        <w:rPr>
          <w:b w:val="0"/>
        </w:rPr>
        <w:t xml:space="preserve"> Alyson</w:t>
      </w:r>
      <w:r w:rsidR="00CB246C">
        <w:rPr>
          <w:b w:val="0"/>
        </w:rPr>
        <w:t xml:space="preserve"> Kilpatrick </w:t>
      </w:r>
      <w:r>
        <w:rPr>
          <w:b w:val="0"/>
        </w:rPr>
        <w:t xml:space="preserve">BL dated 9 February 2020 (‘the </w:t>
      </w:r>
      <w:r w:rsidR="008569AE">
        <w:rPr>
          <w:b w:val="0"/>
        </w:rPr>
        <w:t>Review</w:t>
      </w:r>
      <w:r>
        <w:rPr>
          <w:b w:val="0"/>
        </w:rPr>
        <w:t>’)</w:t>
      </w:r>
      <w:r w:rsidR="00CB246C">
        <w:rPr>
          <w:b w:val="0"/>
        </w:rPr>
        <w:t xml:space="preserve"> as published on the Kenova website and that Mr Boutcher indicated he </w:t>
      </w:r>
      <w:r>
        <w:rPr>
          <w:b w:val="0"/>
        </w:rPr>
        <w:t xml:space="preserve">would </w:t>
      </w:r>
      <w:r w:rsidR="00DE57B6">
        <w:rPr>
          <w:b w:val="0"/>
        </w:rPr>
        <w:t>be willing</w:t>
      </w:r>
      <w:r w:rsidR="00CB246C">
        <w:rPr>
          <w:b w:val="0"/>
        </w:rPr>
        <w:t xml:space="preserve"> to consider any legal ques</w:t>
      </w:r>
      <w:r>
        <w:rPr>
          <w:b w:val="0"/>
        </w:rPr>
        <w:t xml:space="preserve">tions in regard to the </w:t>
      </w:r>
      <w:r w:rsidR="008569AE">
        <w:rPr>
          <w:b w:val="0"/>
        </w:rPr>
        <w:t>Review</w:t>
      </w:r>
      <w:r>
        <w:rPr>
          <w:b w:val="0"/>
        </w:rPr>
        <w:t>.</w:t>
      </w:r>
    </w:p>
    <w:p w:rsidR="008C517B" w:rsidRDefault="008C517B" w:rsidP="00014EFC">
      <w:pPr>
        <w:jc w:val="both"/>
        <w:outlineLvl w:val="0"/>
      </w:pPr>
    </w:p>
    <w:p w:rsidR="00E00EC0" w:rsidRPr="006B4A35" w:rsidRDefault="00E97BBF" w:rsidP="00014EFC">
      <w:pPr>
        <w:jc w:val="both"/>
        <w:outlineLvl w:val="0"/>
        <w:rPr>
          <w:b w:val="0"/>
        </w:rPr>
      </w:pPr>
      <w:r w:rsidRPr="006B4A35">
        <w:rPr>
          <w:b w:val="0"/>
        </w:rPr>
        <w:t>Accordingly, we note as follows:</w:t>
      </w:r>
    </w:p>
    <w:p w:rsidR="00E97BBF" w:rsidRPr="006B4A35" w:rsidRDefault="00E97BBF" w:rsidP="00014EFC">
      <w:pPr>
        <w:jc w:val="both"/>
        <w:outlineLvl w:val="0"/>
        <w:rPr>
          <w:b w:val="0"/>
        </w:rPr>
      </w:pPr>
    </w:p>
    <w:p w:rsidR="00E00EC0" w:rsidRPr="006B4A35" w:rsidRDefault="00E00EC0" w:rsidP="00014EFC">
      <w:pPr>
        <w:numPr>
          <w:ilvl w:val="0"/>
          <w:numId w:val="7"/>
        </w:numPr>
        <w:jc w:val="both"/>
        <w:outlineLvl w:val="0"/>
      </w:pPr>
      <w:r>
        <w:rPr>
          <w:i/>
        </w:rPr>
        <w:t>Vires</w:t>
      </w:r>
    </w:p>
    <w:p w:rsidR="00E00EC0" w:rsidRDefault="00E00EC0" w:rsidP="00014EFC">
      <w:pPr>
        <w:jc w:val="both"/>
        <w:outlineLvl w:val="0"/>
        <w:rPr>
          <w:i/>
        </w:rPr>
      </w:pPr>
    </w:p>
    <w:p w:rsidR="00E00EC0" w:rsidRDefault="00E00EC0" w:rsidP="00014EFC">
      <w:pPr>
        <w:jc w:val="both"/>
        <w:outlineLvl w:val="0"/>
        <w:rPr>
          <w:b w:val="0"/>
        </w:rPr>
      </w:pPr>
      <w:r>
        <w:rPr>
          <w:b w:val="0"/>
        </w:rPr>
        <w:t>We understand that Mr Boutcher is leading Operation Kenova under the following statutory provisions:</w:t>
      </w:r>
    </w:p>
    <w:p w:rsidR="00E00EC0" w:rsidRDefault="00E00EC0" w:rsidP="00014EFC">
      <w:pPr>
        <w:jc w:val="both"/>
        <w:outlineLvl w:val="0"/>
        <w:rPr>
          <w:b w:val="0"/>
        </w:rPr>
      </w:pPr>
    </w:p>
    <w:p w:rsidR="00E00EC0" w:rsidRDefault="00BA0DFE" w:rsidP="00014EFC">
      <w:pPr>
        <w:numPr>
          <w:ilvl w:val="0"/>
          <w:numId w:val="9"/>
        </w:numPr>
        <w:jc w:val="both"/>
        <w:outlineLvl w:val="0"/>
        <w:rPr>
          <w:b w:val="0"/>
        </w:rPr>
      </w:pPr>
      <w:r>
        <w:rPr>
          <w:b w:val="0"/>
        </w:rPr>
        <w:t>The Chief Constable of the Police Service of Northern Ireland (‘the PSNI Chief Constable’)</w:t>
      </w:r>
      <w:r w:rsidR="00AC77F2">
        <w:rPr>
          <w:b w:val="0"/>
        </w:rPr>
        <w:t xml:space="preserve"> </w:t>
      </w:r>
      <w:r w:rsidR="006451EC">
        <w:rPr>
          <w:b w:val="0"/>
        </w:rPr>
        <w:t xml:space="preserve">commencing in June 2016 </w:t>
      </w:r>
      <w:r w:rsidR="008905EC">
        <w:rPr>
          <w:b w:val="0"/>
        </w:rPr>
        <w:t>requested the</w:t>
      </w:r>
      <w:r>
        <w:rPr>
          <w:b w:val="0"/>
        </w:rPr>
        <w:t xml:space="preserve"> assistance of the (now retired) Chief Constable Jon Boutcher of Bedfordshire Police under section 9</w:t>
      </w:r>
      <w:r w:rsidR="002946C8">
        <w:rPr>
          <w:b w:val="0"/>
        </w:rPr>
        <w:t>8</w:t>
      </w:r>
      <w:r>
        <w:rPr>
          <w:b w:val="0"/>
        </w:rPr>
        <w:t xml:space="preserve"> (1) of the Police Act </w:t>
      </w:r>
      <w:r w:rsidR="008905EC">
        <w:rPr>
          <w:b w:val="0"/>
        </w:rPr>
        <w:t>1996 (</w:t>
      </w:r>
      <w:r w:rsidR="002946C8">
        <w:rPr>
          <w:b w:val="0"/>
        </w:rPr>
        <w:t xml:space="preserve">‘the 1996 Act’) </w:t>
      </w:r>
      <w:r>
        <w:rPr>
          <w:b w:val="0"/>
        </w:rPr>
        <w:t>to lead an external investigation into the matters which the Director of Public Prosecutions</w:t>
      </w:r>
      <w:r w:rsidR="00AC77F2">
        <w:rPr>
          <w:b w:val="0"/>
        </w:rPr>
        <w:t xml:space="preserve"> </w:t>
      </w:r>
      <w:r>
        <w:rPr>
          <w:b w:val="0"/>
        </w:rPr>
        <w:t>under</w:t>
      </w:r>
      <w:r w:rsidR="00E00EC0">
        <w:rPr>
          <w:b w:val="0"/>
        </w:rPr>
        <w:t xml:space="preserve"> section 35 (5) of the Justice Act (Northern Ireland) 2002 </w:t>
      </w:r>
      <w:r w:rsidR="002946C8">
        <w:rPr>
          <w:b w:val="0"/>
        </w:rPr>
        <w:t xml:space="preserve">(‘the 2002 Act’) </w:t>
      </w:r>
      <w:r w:rsidR="00AC77F2">
        <w:rPr>
          <w:b w:val="0"/>
        </w:rPr>
        <w:t>asked the PSNI Chief Constable to</w:t>
      </w:r>
      <w:r>
        <w:rPr>
          <w:b w:val="0"/>
        </w:rPr>
        <w:t xml:space="preserve"> investigate.</w:t>
      </w:r>
    </w:p>
    <w:p w:rsidR="002946C8" w:rsidRDefault="002946C8" w:rsidP="00014EFC">
      <w:pPr>
        <w:numPr>
          <w:ilvl w:val="0"/>
          <w:numId w:val="9"/>
        </w:numPr>
        <w:jc w:val="both"/>
        <w:outlineLvl w:val="0"/>
        <w:rPr>
          <w:b w:val="0"/>
        </w:rPr>
      </w:pPr>
      <w:r>
        <w:rPr>
          <w:b w:val="0"/>
        </w:rPr>
        <w:t>Under section 98 (5) of the 1996 Act Mr Boutcher has the like powers and privileges as a member of the PSNI has in Northern Ireland as a constable.</w:t>
      </w:r>
    </w:p>
    <w:p w:rsidR="00BA0DFE" w:rsidRDefault="00BA0DFE" w:rsidP="00014EFC">
      <w:pPr>
        <w:jc w:val="both"/>
        <w:outlineLvl w:val="0"/>
        <w:rPr>
          <w:b w:val="0"/>
        </w:rPr>
      </w:pPr>
    </w:p>
    <w:p w:rsidR="00BA0DFE" w:rsidRDefault="00BA0DFE" w:rsidP="00014EFC">
      <w:pPr>
        <w:jc w:val="both"/>
        <w:outlineLvl w:val="0"/>
        <w:rPr>
          <w:b w:val="0"/>
        </w:rPr>
      </w:pPr>
      <w:r>
        <w:rPr>
          <w:b w:val="0"/>
        </w:rPr>
        <w:t>The Operation Kenova website states:</w:t>
      </w:r>
    </w:p>
    <w:p w:rsidR="00BA0DFE" w:rsidRDefault="00BA0DFE" w:rsidP="00014EFC">
      <w:pPr>
        <w:jc w:val="both"/>
        <w:outlineLvl w:val="0"/>
        <w:rPr>
          <w:b w:val="0"/>
        </w:rPr>
      </w:pPr>
    </w:p>
    <w:p w:rsidR="00BA0DFE" w:rsidRDefault="00BA0DFE" w:rsidP="00014EFC">
      <w:pPr>
        <w:ind w:left="720"/>
        <w:jc w:val="both"/>
        <w:outlineLvl w:val="0"/>
        <w:rPr>
          <w:b w:val="0"/>
        </w:rPr>
      </w:pPr>
      <w:r>
        <w:rPr>
          <w:b w:val="0"/>
        </w:rPr>
        <w:t xml:space="preserve">“Mr Boutcher will be responsible for the delivery of the final reports through the [PSNI Chief Constable] </w:t>
      </w:r>
      <w:r w:rsidR="00E17103">
        <w:rPr>
          <w:b w:val="0"/>
        </w:rPr>
        <w:t>to the Director of Public Prosecutions. These can include a file with prosecutorial recommendations for the consideration of the Director.”</w:t>
      </w:r>
      <w:r w:rsidR="002946C8">
        <w:rPr>
          <w:rStyle w:val="FootnoteReference"/>
          <w:b w:val="0"/>
        </w:rPr>
        <w:footnoteReference w:id="1"/>
      </w:r>
    </w:p>
    <w:p w:rsidR="002946C8" w:rsidRDefault="002946C8" w:rsidP="00014EFC">
      <w:pPr>
        <w:jc w:val="both"/>
        <w:outlineLvl w:val="0"/>
        <w:rPr>
          <w:b w:val="0"/>
        </w:rPr>
      </w:pPr>
    </w:p>
    <w:p w:rsidR="002946C8" w:rsidRDefault="002946C8" w:rsidP="00014EFC">
      <w:pPr>
        <w:jc w:val="both"/>
        <w:outlineLvl w:val="0"/>
        <w:rPr>
          <w:b w:val="0"/>
        </w:rPr>
      </w:pPr>
      <w:r>
        <w:rPr>
          <w:b w:val="0"/>
        </w:rPr>
        <w:lastRenderedPageBreak/>
        <w:t xml:space="preserve">Thus it is clear that where, as in this case, the PSNI obtains this category of external assistance to perform or assist in the performance of its Article 2 </w:t>
      </w:r>
      <w:r w:rsidR="00AC77F2">
        <w:rPr>
          <w:b w:val="0"/>
        </w:rPr>
        <w:t xml:space="preserve">investigatory </w:t>
      </w:r>
      <w:r>
        <w:rPr>
          <w:b w:val="0"/>
        </w:rPr>
        <w:t>duties</w:t>
      </w:r>
      <w:r w:rsidR="00AC77F2">
        <w:rPr>
          <w:b w:val="0"/>
        </w:rPr>
        <w:t xml:space="preserve"> (see section 2 below &amp; following)</w:t>
      </w:r>
      <w:r>
        <w:rPr>
          <w:b w:val="0"/>
        </w:rPr>
        <w:t xml:space="preserve">, the powers of the assisting body (in this case Mr Boutcher/Bedfordshire Police) cannot be greater than the powers </w:t>
      </w:r>
      <w:r w:rsidR="008905EC">
        <w:rPr>
          <w:b w:val="0"/>
        </w:rPr>
        <w:t>of the</w:t>
      </w:r>
      <w:r w:rsidR="00AC77F2">
        <w:rPr>
          <w:b w:val="0"/>
        </w:rPr>
        <w:t xml:space="preserve"> PSNI Chief Constable/</w:t>
      </w:r>
      <w:r>
        <w:rPr>
          <w:b w:val="0"/>
        </w:rPr>
        <w:t>PSNI officers.</w:t>
      </w:r>
    </w:p>
    <w:p w:rsidR="002946C8" w:rsidRDefault="002946C8" w:rsidP="00014EFC">
      <w:pPr>
        <w:jc w:val="both"/>
        <w:outlineLvl w:val="0"/>
        <w:rPr>
          <w:b w:val="0"/>
        </w:rPr>
      </w:pPr>
    </w:p>
    <w:p w:rsidR="002946C8" w:rsidRPr="006B4A35" w:rsidRDefault="002946C8" w:rsidP="00014EFC">
      <w:pPr>
        <w:jc w:val="both"/>
        <w:outlineLvl w:val="0"/>
        <w:rPr>
          <w:b w:val="0"/>
        </w:rPr>
      </w:pPr>
      <w:r>
        <w:rPr>
          <w:b w:val="0"/>
        </w:rPr>
        <w:t xml:space="preserve">We shall return to this point later in this </w:t>
      </w:r>
      <w:r w:rsidR="00791323">
        <w:rPr>
          <w:b w:val="0"/>
        </w:rPr>
        <w:t>n</w:t>
      </w:r>
      <w:r>
        <w:rPr>
          <w:b w:val="0"/>
        </w:rPr>
        <w:t>ote.</w:t>
      </w:r>
    </w:p>
    <w:p w:rsidR="00AC77F2" w:rsidRDefault="00AC77F2" w:rsidP="00014EFC">
      <w:pPr>
        <w:jc w:val="both"/>
        <w:outlineLvl w:val="0"/>
      </w:pPr>
    </w:p>
    <w:p w:rsidR="008C517B" w:rsidRPr="00DE57B6" w:rsidRDefault="00AC77F2" w:rsidP="00014EFC">
      <w:pPr>
        <w:numPr>
          <w:ilvl w:val="0"/>
          <w:numId w:val="7"/>
        </w:numPr>
        <w:jc w:val="both"/>
        <w:outlineLvl w:val="0"/>
      </w:pPr>
      <w:r>
        <w:t xml:space="preserve"> Article 2</w:t>
      </w:r>
    </w:p>
    <w:p w:rsidR="008C517B" w:rsidRDefault="008C517B" w:rsidP="00014EFC">
      <w:pPr>
        <w:jc w:val="both"/>
        <w:outlineLvl w:val="0"/>
        <w:rPr>
          <w:b w:val="0"/>
          <w:i/>
        </w:rPr>
      </w:pPr>
    </w:p>
    <w:p w:rsidR="008C517B" w:rsidRDefault="002A251E" w:rsidP="00014EFC">
      <w:pPr>
        <w:pStyle w:val="BodyText"/>
        <w:jc w:val="both"/>
        <w:rPr>
          <w:i w:val="0"/>
        </w:rPr>
      </w:pPr>
      <w:r>
        <w:rPr>
          <w:i w:val="0"/>
        </w:rPr>
        <w:t>Clearly, t</w:t>
      </w:r>
      <w:r w:rsidR="008C517B">
        <w:rPr>
          <w:i w:val="0"/>
        </w:rPr>
        <w:t>he jurisprudential approach of the European Court of Human Rights (</w:t>
      </w:r>
      <w:r w:rsidR="00DD49E5">
        <w:rPr>
          <w:i w:val="0"/>
        </w:rPr>
        <w:t xml:space="preserve">for the purposes of this </w:t>
      </w:r>
      <w:r w:rsidR="00791323">
        <w:rPr>
          <w:i w:val="0"/>
        </w:rPr>
        <w:t>n</w:t>
      </w:r>
      <w:r w:rsidR="00DD49E5">
        <w:rPr>
          <w:i w:val="0"/>
        </w:rPr>
        <w:t>ote</w:t>
      </w:r>
      <w:r w:rsidR="003219B3">
        <w:rPr>
          <w:i w:val="0"/>
        </w:rPr>
        <w:t>,</w:t>
      </w:r>
      <w:r w:rsidR="00DD49E5">
        <w:rPr>
          <w:i w:val="0"/>
        </w:rPr>
        <w:t xml:space="preserve"> ‘the Court’)</w:t>
      </w:r>
      <w:r w:rsidR="008C517B">
        <w:rPr>
          <w:i w:val="0"/>
        </w:rPr>
        <w:t xml:space="preserve"> is that Article 2 of the European Convention on Human Rights (</w:t>
      </w:r>
      <w:r w:rsidR="003219B3">
        <w:rPr>
          <w:i w:val="0"/>
        </w:rPr>
        <w:t>‘</w:t>
      </w:r>
      <w:r w:rsidR="008C517B">
        <w:rPr>
          <w:i w:val="0"/>
        </w:rPr>
        <w:t>the Convention</w:t>
      </w:r>
      <w:r w:rsidR="003219B3">
        <w:rPr>
          <w:i w:val="0"/>
        </w:rPr>
        <w:t>’</w:t>
      </w:r>
      <w:r w:rsidR="008C517B">
        <w:rPr>
          <w:i w:val="0"/>
        </w:rPr>
        <w:t>) requires a proper procedure for reviewing the lawfulness of lethal force by state authorities.</w:t>
      </w:r>
    </w:p>
    <w:p w:rsidR="008C517B" w:rsidRDefault="008C517B" w:rsidP="00014EFC">
      <w:pPr>
        <w:pStyle w:val="BodyText"/>
        <w:jc w:val="both"/>
        <w:rPr>
          <w:i w:val="0"/>
        </w:rPr>
      </w:pPr>
    </w:p>
    <w:p w:rsidR="008C517B" w:rsidRDefault="008C517B" w:rsidP="00014EFC">
      <w:pPr>
        <w:pStyle w:val="BodyText"/>
        <w:jc w:val="both"/>
        <w:rPr>
          <w:i w:val="0"/>
        </w:rPr>
      </w:pPr>
      <w:r>
        <w:rPr>
          <w:i w:val="0"/>
        </w:rPr>
        <w:t xml:space="preserve">As </w:t>
      </w:r>
      <w:r w:rsidR="002A251E">
        <w:rPr>
          <w:i w:val="0"/>
        </w:rPr>
        <w:t xml:space="preserve">is pointed out </w:t>
      </w:r>
      <w:r>
        <w:rPr>
          <w:i w:val="0"/>
        </w:rPr>
        <w:t xml:space="preserve">in para 8 of </w:t>
      </w:r>
      <w:r w:rsidR="002A251E">
        <w:rPr>
          <w:i w:val="0"/>
        </w:rPr>
        <w:t>the</w:t>
      </w:r>
      <w:r>
        <w:rPr>
          <w:i w:val="0"/>
        </w:rPr>
        <w:t xml:space="preserve"> </w:t>
      </w:r>
      <w:r w:rsidR="008569AE">
        <w:rPr>
          <w:i w:val="0"/>
        </w:rPr>
        <w:t>Review</w:t>
      </w:r>
      <w:r w:rsidR="00791323">
        <w:rPr>
          <w:i w:val="0"/>
        </w:rPr>
        <w:t>,</w:t>
      </w:r>
      <w:r w:rsidR="002A251E">
        <w:rPr>
          <w:i w:val="0"/>
        </w:rPr>
        <w:t xml:space="preserve"> </w:t>
      </w:r>
      <w:r>
        <w:rPr>
          <w:i w:val="0"/>
        </w:rPr>
        <w:t xml:space="preserve">the </w:t>
      </w:r>
      <w:r w:rsidR="003219B3">
        <w:rPr>
          <w:i w:val="0"/>
        </w:rPr>
        <w:t xml:space="preserve">Court </w:t>
      </w:r>
      <w:r>
        <w:rPr>
          <w:i w:val="0"/>
        </w:rPr>
        <w:t xml:space="preserve">in the </w:t>
      </w:r>
      <w:r>
        <w:t xml:space="preserve">McCann </w:t>
      </w:r>
      <w:r w:rsidR="002A251E">
        <w:rPr>
          <w:i w:val="0"/>
        </w:rPr>
        <w:t>case observed that:-</w:t>
      </w:r>
    </w:p>
    <w:p w:rsidR="008C517B" w:rsidRDefault="008C517B" w:rsidP="00014EFC">
      <w:pPr>
        <w:pStyle w:val="BodyText"/>
        <w:jc w:val="both"/>
        <w:rPr>
          <w:i w:val="0"/>
        </w:rPr>
      </w:pPr>
    </w:p>
    <w:p w:rsidR="008C517B" w:rsidRDefault="008C517B" w:rsidP="00014EFC">
      <w:pPr>
        <w:pStyle w:val="BodyText"/>
        <w:ind w:left="720"/>
        <w:jc w:val="both"/>
        <w:rPr>
          <w:i w:val="0"/>
        </w:rPr>
      </w:pPr>
      <w:proofErr w:type="gramStart"/>
      <w:r>
        <w:rPr>
          <w:i w:val="0"/>
        </w:rPr>
        <w:t>“ .</w:t>
      </w:r>
      <w:proofErr w:type="gramEnd"/>
      <w:r>
        <w:rPr>
          <w:i w:val="0"/>
        </w:rPr>
        <w:t xml:space="preserve"> . . a general legal prohibition of arbitrary killing by agents of the State would be ineffective, in practice, if there existed no procedure for reviewing the lawfulness of the use of lethal force by State authorities.”</w:t>
      </w:r>
    </w:p>
    <w:p w:rsidR="008C517B" w:rsidRDefault="008C517B" w:rsidP="00014EFC">
      <w:pPr>
        <w:pStyle w:val="BodyText"/>
        <w:jc w:val="both"/>
        <w:rPr>
          <w:i w:val="0"/>
        </w:rPr>
      </w:pPr>
    </w:p>
    <w:p w:rsidR="008C517B" w:rsidRDefault="008C517B" w:rsidP="00014EFC">
      <w:pPr>
        <w:pStyle w:val="BodyText"/>
        <w:jc w:val="both"/>
        <w:rPr>
          <w:i w:val="0"/>
        </w:rPr>
      </w:pPr>
      <w:r>
        <w:rPr>
          <w:i w:val="0"/>
        </w:rPr>
        <w:t xml:space="preserve">The </w:t>
      </w:r>
      <w:r w:rsidR="00DD49E5">
        <w:rPr>
          <w:i w:val="0"/>
        </w:rPr>
        <w:t>Court</w:t>
      </w:r>
      <w:r>
        <w:rPr>
          <w:i w:val="0"/>
        </w:rPr>
        <w:t xml:space="preserve"> in </w:t>
      </w:r>
      <w:r>
        <w:t xml:space="preserve">McCann </w:t>
      </w:r>
      <w:r>
        <w:rPr>
          <w:i w:val="0"/>
        </w:rPr>
        <w:t>accordingly concluded that in such circumstances there must be</w:t>
      </w:r>
      <w:r w:rsidR="00DD49E5">
        <w:rPr>
          <w:i w:val="0"/>
        </w:rPr>
        <w:t xml:space="preserve">, as stated in para 7 of </w:t>
      </w:r>
      <w:r w:rsidR="002A251E">
        <w:rPr>
          <w:i w:val="0"/>
        </w:rPr>
        <w:t>the</w:t>
      </w:r>
      <w:r w:rsidR="00DD49E5">
        <w:rPr>
          <w:i w:val="0"/>
        </w:rPr>
        <w:t xml:space="preserve"> </w:t>
      </w:r>
      <w:r w:rsidR="008569AE">
        <w:rPr>
          <w:i w:val="0"/>
        </w:rPr>
        <w:t>Review</w:t>
      </w:r>
      <w:r w:rsidR="00DD49E5">
        <w:rPr>
          <w:i w:val="0"/>
        </w:rPr>
        <w:t>,</w:t>
      </w:r>
      <w:r>
        <w:rPr>
          <w:i w:val="0"/>
        </w:rPr>
        <w:t xml:space="preserve"> ‘some form of effective official investigation’.</w:t>
      </w:r>
    </w:p>
    <w:p w:rsidR="008C517B" w:rsidRDefault="008C517B" w:rsidP="00014EFC">
      <w:pPr>
        <w:pStyle w:val="BodyText"/>
        <w:jc w:val="both"/>
        <w:rPr>
          <w:i w:val="0"/>
        </w:rPr>
      </w:pPr>
    </w:p>
    <w:p w:rsidR="008C517B" w:rsidRDefault="008C517B" w:rsidP="00014EFC">
      <w:pPr>
        <w:pStyle w:val="BodyText"/>
        <w:jc w:val="both"/>
        <w:rPr>
          <w:i w:val="0"/>
        </w:rPr>
      </w:pPr>
      <w:r>
        <w:rPr>
          <w:i w:val="0"/>
        </w:rPr>
        <w:t xml:space="preserve">However, the difficulty is to identify what form of ‘effective official investigation’ is required to satisfy the Article 2 requirements as identified by </w:t>
      </w:r>
      <w:r w:rsidR="00DD49E5">
        <w:rPr>
          <w:i w:val="0"/>
        </w:rPr>
        <w:t>the Court</w:t>
      </w:r>
      <w:r w:rsidR="001038A7">
        <w:rPr>
          <w:i w:val="0"/>
        </w:rPr>
        <w:t>.</w:t>
      </w:r>
    </w:p>
    <w:p w:rsidR="008C517B" w:rsidRDefault="008C517B" w:rsidP="00014EFC">
      <w:pPr>
        <w:pStyle w:val="BodyText"/>
        <w:jc w:val="both"/>
        <w:rPr>
          <w:i w:val="0"/>
        </w:rPr>
      </w:pPr>
    </w:p>
    <w:p w:rsidR="008C517B" w:rsidRDefault="002A251E" w:rsidP="00014EFC">
      <w:pPr>
        <w:pStyle w:val="BodyText"/>
        <w:jc w:val="both"/>
        <w:rPr>
          <w:i w:val="0"/>
        </w:rPr>
      </w:pPr>
      <w:r>
        <w:rPr>
          <w:i w:val="0"/>
        </w:rPr>
        <w:t>P</w:t>
      </w:r>
      <w:r w:rsidR="008C517B">
        <w:rPr>
          <w:i w:val="0"/>
        </w:rPr>
        <w:t xml:space="preserve">ara 4 of </w:t>
      </w:r>
      <w:r w:rsidR="008569AE">
        <w:rPr>
          <w:i w:val="0"/>
        </w:rPr>
        <w:t>Review</w:t>
      </w:r>
      <w:r w:rsidR="008C517B">
        <w:rPr>
          <w:i w:val="0"/>
        </w:rPr>
        <w:t xml:space="preserve"> </w:t>
      </w:r>
      <w:r w:rsidR="00DE57B6">
        <w:rPr>
          <w:i w:val="0"/>
        </w:rPr>
        <w:t>asserts that</w:t>
      </w:r>
      <w:r w:rsidR="008C517B">
        <w:rPr>
          <w:i w:val="0"/>
        </w:rPr>
        <w:t>:</w:t>
      </w:r>
    </w:p>
    <w:p w:rsidR="008C517B" w:rsidRDefault="008C517B" w:rsidP="00014EFC">
      <w:pPr>
        <w:pStyle w:val="BodyText"/>
        <w:jc w:val="both"/>
        <w:rPr>
          <w:i w:val="0"/>
        </w:rPr>
      </w:pPr>
    </w:p>
    <w:p w:rsidR="008C517B" w:rsidRDefault="008C517B" w:rsidP="00014EFC">
      <w:pPr>
        <w:pStyle w:val="BodyText"/>
        <w:ind w:left="720"/>
        <w:jc w:val="both"/>
        <w:rPr>
          <w:i w:val="0"/>
        </w:rPr>
      </w:pPr>
      <w:proofErr w:type="gramStart"/>
      <w:r>
        <w:rPr>
          <w:i w:val="0"/>
        </w:rPr>
        <w:t>“ .</w:t>
      </w:r>
      <w:proofErr w:type="gramEnd"/>
      <w:r>
        <w:rPr>
          <w:i w:val="0"/>
        </w:rPr>
        <w:t xml:space="preserve"> . . it will be Article 2 which regulates and provides for the continuance of Kenova and other investigations.”</w:t>
      </w:r>
    </w:p>
    <w:p w:rsidR="008C517B" w:rsidRDefault="008C517B" w:rsidP="00014EFC">
      <w:pPr>
        <w:pStyle w:val="BodyText"/>
        <w:jc w:val="both"/>
        <w:rPr>
          <w:i w:val="0"/>
        </w:rPr>
      </w:pPr>
    </w:p>
    <w:p w:rsidR="009E0797" w:rsidRDefault="009E0797" w:rsidP="00014EFC">
      <w:pPr>
        <w:pStyle w:val="BodyText"/>
        <w:jc w:val="both"/>
        <w:rPr>
          <w:i w:val="0"/>
        </w:rPr>
      </w:pPr>
      <w:r>
        <w:rPr>
          <w:i w:val="0"/>
        </w:rPr>
        <w:t xml:space="preserve">But the difficulty is that, as para 14 of the </w:t>
      </w:r>
      <w:r w:rsidR="008569AE">
        <w:rPr>
          <w:i w:val="0"/>
        </w:rPr>
        <w:t>Review</w:t>
      </w:r>
      <w:r>
        <w:rPr>
          <w:i w:val="0"/>
        </w:rPr>
        <w:t xml:space="preserve"> </w:t>
      </w:r>
      <w:proofErr w:type="gramStart"/>
      <w:r>
        <w:rPr>
          <w:i w:val="0"/>
        </w:rPr>
        <w:t>notes, the Court has</w:t>
      </w:r>
      <w:proofErr w:type="gramEnd"/>
      <w:r>
        <w:rPr>
          <w:i w:val="0"/>
        </w:rPr>
        <w:t xml:space="preserve"> refused to determine a model for Article 2 investigations.</w:t>
      </w:r>
    </w:p>
    <w:p w:rsidR="00A37551" w:rsidRDefault="00A37551" w:rsidP="00014EFC">
      <w:pPr>
        <w:pStyle w:val="BodyText"/>
        <w:jc w:val="both"/>
        <w:rPr>
          <w:i w:val="0"/>
        </w:rPr>
      </w:pPr>
    </w:p>
    <w:p w:rsidR="00283A0D" w:rsidRDefault="00AC77F2" w:rsidP="00014EFC">
      <w:pPr>
        <w:pStyle w:val="BodyText"/>
        <w:jc w:val="both"/>
        <w:rPr>
          <w:i w:val="0"/>
        </w:rPr>
      </w:pPr>
      <w:r>
        <w:rPr>
          <w:i w:val="0"/>
        </w:rPr>
        <w:t>Later i</w:t>
      </w:r>
      <w:r w:rsidR="00283A0D">
        <w:rPr>
          <w:i w:val="0"/>
        </w:rPr>
        <w:t xml:space="preserve">n this </w:t>
      </w:r>
      <w:r w:rsidR="00791323">
        <w:rPr>
          <w:i w:val="0"/>
        </w:rPr>
        <w:t>n</w:t>
      </w:r>
      <w:r w:rsidR="00283A0D">
        <w:rPr>
          <w:i w:val="0"/>
        </w:rPr>
        <w:t>ote we list several of the Article 2 requirements and we raise enquiry as to whether, in fact, Operation Kenova itself fulfils these requirements.</w:t>
      </w:r>
    </w:p>
    <w:p w:rsidR="00283A0D" w:rsidRDefault="00283A0D" w:rsidP="00014EFC">
      <w:pPr>
        <w:pStyle w:val="BodyText"/>
        <w:jc w:val="both"/>
        <w:rPr>
          <w:i w:val="0"/>
        </w:rPr>
      </w:pPr>
    </w:p>
    <w:p w:rsidR="008C517B" w:rsidRDefault="00283A0D" w:rsidP="00014EFC">
      <w:pPr>
        <w:pStyle w:val="BodyText"/>
        <w:jc w:val="both"/>
        <w:rPr>
          <w:i w:val="0"/>
        </w:rPr>
      </w:pPr>
      <w:r>
        <w:rPr>
          <w:i w:val="0"/>
        </w:rPr>
        <w:t xml:space="preserve">At the heart of this is </w:t>
      </w:r>
      <w:r w:rsidR="008C517B">
        <w:rPr>
          <w:i w:val="0"/>
        </w:rPr>
        <w:t xml:space="preserve">the difficulty of identifying what are the inherent requirements of Article 2 investigations </w:t>
      </w:r>
      <w:r w:rsidR="00E54255">
        <w:rPr>
          <w:i w:val="0"/>
        </w:rPr>
        <w:t>as required</w:t>
      </w:r>
      <w:r w:rsidR="008C517B">
        <w:rPr>
          <w:i w:val="0"/>
        </w:rPr>
        <w:t xml:space="preserve"> by</w:t>
      </w:r>
      <w:r w:rsidR="002A251E">
        <w:rPr>
          <w:i w:val="0"/>
        </w:rPr>
        <w:t xml:space="preserve"> the Court</w:t>
      </w:r>
      <w:r w:rsidR="00130FC5">
        <w:rPr>
          <w:i w:val="0"/>
        </w:rPr>
        <w:t>.</w:t>
      </w:r>
    </w:p>
    <w:p w:rsidR="00C51191" w:rsidRDefault="00C51191" w:rsidP="00014EFC">
      <w:pPr>
        <w:pStyle w:val="BodyText"/>
        <w:jc w:val="both"/>
        <w:rPr>
          <w:i w:val="0"/>
        </w:rPr>
      </w:pPr>
    </w:p>
    <w:p w:rsidR="00AD38EE" w:rsidRDefault="002A251E" w:rsidP="00014EFC">
      <w:pPr>
        <w:pStyle w:val="BodyText"/>
        <w:jc w:val="both"/>
        <w:rPr>
          <w:i w:val="0"/>
        </w:rPr>
      </w:pPr>
      <w:r>
        <w:rPr>
          <w:i w:val="0"/>
        </w:rPr>
        <w:t>T</w:t>
      </w:r>
      <w:r w:rsidR="00AD38EE">
        <w:rPr>
          <w:i w:val="0"/>
        </w:rPr>
        <w:t>he requirements</w:t>
      </w:r>
      <w:r>
        <w:rPr>
          <w:i w:val="0"/>
        </w:rPr>
        <w:t xml:space="preserve"> are summarised</w:t>
      </w:r>
      <w:r w:rsidR="00AD38EE">
        <w:rPr>
          <w:i w:val="0"/>
        </w:rPr>
        <w:t xml:space="preserve"> in para 14 of </w:t>
      </w:r>
      <w:r>
        <w:rPr>
          <w:i w:val="0"/>
        </w:rPr>
        <w:t>the</w:t>
      </w:r>
      <w:r w:rsidR="00AD38EE">
        <w:rPr>
          <w:i w:val="0"/>
        </w:rPr>
        <w:t xml:space="preserve"> </w:t>
      </w:r>
      <w:r w:rsidR="008569AE">
        <w:rPr>
          <w:i w:val="0"/>
        </w:rPr>
        <w:t>Review</w:t>
      </w:r>
      <w:r w:rsidR="00AD38EE">
        <w:rPr>
          <w:i w:val="0"/>
        </w:rPr>
        <w:t>:</w:t>
      </w:r>
    </w:p>
    <w:p w:rsidR="00AD38EE" w:rsidRDefault="00AD38EE" w:rsidP="00014EFC">
      <w:pPr>
        <w:pStyle w:val="BodyText"/>
        <w:jc w:val="both"/>
        <w:rPr>
          <w:i w:val="0"/>
        </w:rPr>
      </w:pPr>
    </w:p>
    <w:p w:rsidR="00DD49E5" w:rsidRDefault="00AD38EE" w:rsidP="00014EFC">
      <w:pPr>
        <w:pStyle w:val="BodyText"/>
        <w:ind w:left="720"/>
        <w:jc w:val="both"/>
        <w:rPr>
          <w:i w:val="0"/>
        </w:rPr>
      </w:pPr>
      <w:r>
        <w:rPr>
          <w:i w:val="0"/>
        </w:rPr>
        <w:t xml:space="preserve">“It is clear that to be effective the investigation must be adequate </w:t>
      </w:r>
      <w:r w:rsidR="002577BB">
        <w:rPr>
          <w:i w:val="0"/>
        </w:rPr>
        <w:t>i.e.</w:t>
      </w:r>
      <w:r>
        <w:rPr>
          <w:i w:val="0"/>
        </w:rPr>
        <w:t xml:space="preserve"> it must be capable of leading to a determination of what happened and of identifying and – if appropriate – punishing those responsible. This is not an obligation of result but of means: </w:t>
      </w:r>
      <w:r w:rsidRPr="00AD38EE">
        <w:t>Armani Da Silva v UK</w:t>
      </w:r>
      <w:r>
        <w:rPr>
          <w:i w:val="0"/>
        </w:rPr>
        <w:t xml:space="preserve"> (2016). The </w:t>
      </w:r>
      <w:r>
        <w:rPr>
          <w:i w:val="0"/>
        </w:rPr>
        <w:lastRenderedPageBreak/>
        <w:t>[Court] has refused, expressly, to determine a model for Article 2 investigations for that reason.”</w:t>
      </w:r>
    </w:p>
    <w:p w:rsidR="00572BCC" w:rsidRDefault="00572BCC" w:rsidP="00014EFC">
      <w:pPr>
        <w:pStyle w:val="BodyText"/>
        <w:jc w:val="both"/>
        <w:rPr>
          <w:i w:val="0"/>
        </w:rPr>
      </w:pPr>
    </w:p>
    <w:p w:rsidR="00C51191" w:rsidRDefault="00C51191" w:rsidP="00014EFC">
      <w:pPr>
        <w:pStyle w:val="BodyText"/>
        <w:jc w:val="both"/>
        <w:rPr>
          <w:i w:val="0"/>
        </w:rPr>
      </w:pPr>
      <w:r>
        <w:rPr>
          <w:i w:val="0"/>
        </w:rPr>
        <w:t>We suggest there ar</w:t>
      </w:r>
      <w:r w:rsidR="00572BCC">
        <w:rPr>
          <w:i w:val="0"/>
        </w:rPr>
        <w:t>e several aspects to be tackled</w:t>
      </w:r>
      <w:r>
        <w:rPr>
          <w:i w:val="0"/>
        </w:rPr>
        <w:t>:</w:t>
      </w:r>
    </w:p>
    <w:p w:rsidR="00C51191" w:rsidRDefault="00C51191" w:rsidP="00014EFC">
      <w:pPr>
        <w:pStyle w:val="BodyText"/>
        <w:jc w:val="both"/>
        <w:rPr>
          <w:i w:val="0"/>
        </w:rPr>
      </w:pPr>
    </w:p>
    <w:p w:rsidR="00935860" w:rsidRDefault="00935860" w:rsidP="00014EFC">
      <w:pPr>
        <w:pStyle w:val="BodyText"/>
        <w:numPr>
          <w:ilvl w:val="0"/>
          <w:numId w:val="5"/>
        </w:numPr>
        <w:jc w:val="both"/>
      </w:pPr>
      <w:r>
        <w:t>When should an Article 2 process be carried out?</w:t>
      </w:r>
    </w:p>
    <w:p w:rsidR="00935860" w:rsidRDefault="00935860" w:rsidP="00014EFC">
      <w:pPr>
        <w:pStyle w:val="BodyText"/>
        <w:ind w:left="720"/>
        <w:jc w:val="both"/>
      </w:pPr>
    </w:p>
    <w:p w:rsidR="00B822C3" w:rsidRDefault="00935860" w:rsidP="00014EFC">
      <w:pPr>
        <w:pStyle w:val="Title"/>
        <w:numPr>
          <w:ilvl w:val="0"/>
          <w:numId w:val="6"/>
        </w:numPr>
        <w:jc w:val="both"/>
        <w:outlineLvl w:val="0"/>
        <w:rPr>
          <w:b w:val="0"/>
          <w:i/>
        </w:rPr>
      </w:pPr>
      <w:r>
        <w:rPr>
          <w:b w:val="0"/>
          <w:i/>
        </w:rPr>
        <w:t>What is the nature of the f</w:t>
      </w:r>
      <w:r w:rsidR="00B822C3">
        <w:rPr>
          <w:b w:val="0"/>
          <w:i/>
        </w:rPr>
        <w:t>ormal process</w:t>
      </w:r>
      <w:r>
        <w:rPr>
          <w:b w:val="0"/>
          <w:i/>
        </w:rPr>
        <w:t xml:space="preserve"> required when Article 2 applies</w:t>
      </w:r>
      <w:r w:rsidR="00B822C3">
        <w:rPr>
          <w:b w:val="0"/>
          <w:i/>
        </w:rPr>
        <w:t>?</w:t>
      </w:r>
    </w:p>
    <w:p w:rsidR="003219B3" w:rsidRDefault="003219B3" w:rsidP="00014EFC">
      <w:pPr>
        <w:pStyle w:val="Title"/>
        <w:jc w:val="both"/>
        <w:outlineLvl w:val="0"/>
        <w:rPr>
          <w:b w:val="0"/>
          <w:i/>
        </w:rPr>
      </w:pPr>
    </w:p>
    <w:p w:rsidR="003219B3" w:rsidRPr="001038A7" w:rsidRDefault="003219B3" w:rsidP="00014EFC">
      <w:pPr>
        <w:pStyle w:val="BodyText"/>
        <w:numPr>
          <w:ilvl w:val="0"/>
          <w:numId w:val="6"/>
        </w:numPr>
        <w:jc w:val="both"/>
        <w:outlineLvl w:val="0"/>
        <w:rPr>
          <w:b/>
        </w:rPr>
      </w:pPr>
      <w:r w:rsidRPr="00C51191">
        <w:t>The</w:t>
      </w:r>
      <w:r w:rsidR="002577BB">
        <w:t xml:space="preserve"> essential</w:t>
      </w:r>
      <w:r w:rsidRPr="00C51191">
        <w:t xml:space="preserve"> distinction between investigation </w:t>
      </w:r>
      <w:r w:rsidR="00791323">
        <w:t>and</w:t>
      </w:r>
      <w:r w:rsidRPr="00C51191">
        <w:t xml:space="preserve"> adjudication </w:t>
      </w:r>
    </w:p>
    <w:p w:rsidR="001038A7" w:rsidRDefault="001038A7" w:rsidP="00014EFC">
      <w:pPr>
        <w:pStyle w:val="ListParagraph"/>
        <w:jc w:val="both"/>
        <w:rPr>
          <w:b w:val="0"/>
        </w:rPr>
      </w:pPr>
    </w:p>
    <w:p w:rsidR="00283A0D" w:rsidRPr="00283A0D" w:rsidRDefault="001038A7" w:rsidP="00014EFC">
      <w:pPr>
        <w:pStyle w:val="Title"/>
        <w:numPr>
          <w:ilvl w:val="0"/>
          <w:numId w:val="5"/>
        </w:numPr>
        <w:jc w:val="both"/>
        <w:outlineLvl w:val="0"/>
        <w:rPr>
          <w:b w:val="0"/>
          <w:i/>
        </w:rPr>
      </w:pPr>
      <w:r>
        <w:rPr>
          <w:b w:val="0"/>
          <w:i/>
        </w:rPr>
        <w:t>F</w:t>
      </w:r>
      <w:r w:rsidR="00283A0D" w:rsidRPr="00283A0D">
        <w:rPr>
          <w:b w:val="0"/>
          <w:i/>
        </w:rPr>
        <w:t>air process</w:t>
      </w:r>
    </w:p>
    <w:p w:rsidR="00283A0D" w:rsidRDefault="00283A0D" w:rsidP="00014EFC">
      <w:pPr>
        <w:pStyle w:val="ListParagraph"/>
        <w:jc w:val="both"/>
        <w:rPr>
          <w:b w:val="0"/>
        </w:rPr>
      </w:pPr>
    </w:p>
    <w:p w:rsidR="006652B4" w:rsidRDefault="00283A0D" w:rsidP="00014EFC">
      <w:pPr>
        <w:pStyle w:val="Title"/>
        <w:numPr>
          <w:ilvl w:val="0"/>
          <w:numId w:val="6"/>
        </w:numPr>
        <w:jc w:val="both"/>
        <w:outlineLvl w:val="0"/>
        <w:rPr>
          <w:b w:val="0"/>
          <w:i/>
        </w:rPr>
      </w:pPr>
      <w:r>
        <w:rPr>
          <w:b w:val="0"/>
          <w:i/>
        </w:rPr>
        <w:t>Public scrutiny</w:t>
      </w:r>
    </w:p>
    <w:p w:rsidR="00AD38EE" w:rsidRDefault="00AD38EE" w:rsidP="00014EFC">
      <w:pPr>
        <w:pStyle w:val="Title"/>
        <w:jc w:val="both"/>
        <w:outlineLvl w:val="0"/>
        <w:rPr>
          <w:b w:val="0"/>
          <w:i/>
        </w:rPr>
      </w:pPr>
    </w:p>
    <w:p w:rsidR="00AD38EE" w:rsidRDefault="00283A0D" w:rsidP="00014EFC">
      <w:pPr>
        <w:pStyle w:val="Title"/>
        <w:numPr>
          <w:ilvl w:val="0"/>
          <w:numId w:val="6"/>
        </w:numPr>
        <w:jc w:val="both"/>
        <w:outlineLvl w:val="0"/>
        <w:rPr>
          <w:b w:val="0"/>
          <w:i/>
        </w:rPr>
      </w:pPr>
      <w:r>
        <w:rPr>
          <w:b w:val="0"/>
          <w:i/>
        </w:rPr>
        <w:t>Compellability of witnesses</w:t>
      </w:r>
    </w:p>
    <w:p w:rsidR="00C51191" w:rsidRDefault="00C51191" w:rsidP="00014EFC">
      <w:pPr>
        <w:pStyle w:val="Title"/>
        <w:jc w:val="both"/>
        <w:outlineLvl w:val="0"/>
        <w:rPr>
          <w:b w:val="0"/>
          <w:i/>
        </w:rPr>
      </w:pPr>
    </w:p>
    <w:p w:rsidR="00C51191" w:rsidRDefault="00C51191" w:rsidP="00014EFC">
      <w:pPr>
        <w:pStyle w:val="Title"/>
        <w:jc w:val="both"/>
        <w:outlineLvl w:val="0"/>
        <w:rPr>
          <w:b w:val="0"/>
        </w:rPr>
      </w:pPr>
      <w:r>
        <w:rPr>
          <w:b w:val="0"/>
        </w:rPr>
        <w:t>Each of these is examined in turn:</w:t>
      </w:r>
    </w:p>
    <w:p w:rsidR="00BF21D7" w:rsidRDefault="00BF21D7" w:rsidP="00014EFC">
      <w:pPr>
        <w:pStyle w:val="Title"/>
        <w:jc w:val="both"/>
        <w:outlineLvl w:val="0"/>
        <w:rPr>
          <w:b w:val="0"/>
        </w:rPr>
      </w:pPr>
    </w:p>
    <w:p w:rsidR="00BF21D7" w:rsidRDefault="00BF21D7" w:rsidP="00014EFC">
      <w:pPr>
        <w:pStyle w:val="BodyText"/>
        <w:numPr>
          <w:ilvl w:val="0"/>
          <w:numId w:val="7"/>
        </w:numPr>
        <w:jc w:val="both"/>
        <w:rPr>
          <w:b/>
          <w:i w:val="0"/>
        </w:rPr>
      </w:pPr>
      <w:r w:rsidRPr="00BF21D7">
        <w:rPr>
          <w:b/>
          <w:i w:val="0"/>
        </w:rPr>
        <w:t>When should an Article 2 process be carried out?</w:t>
      </w:r>
    </w:p>
    <w:p w:rsidR="009F684E" w:rsidRDefault="009F684E" w:rsidP="00014EFC">
      <w:pPr>
        <w:pStyle w:val="BodyText"/>
        <w:jc w:val="both"/>
        <w:rPr>
          <w:b/>
          <w:i w:val="0"/>
        </w:rPr>
      </w:pPr>
    </w:p>
    <w:p w:rsidR="009F684E" w:rsidRDefault="009F684E" w:rsidP="00014EFC">
      <w:pPr>
        <w:pStyle w:val="BodyText"/>
        <w:jc w:val="both"/>
        <w:rPr>
          <w:i w:val="0"/>
        </w:rPr>
      </w:pPr>
      <w:r>
        <w:rPr>
          <w:i w:val="0"/>
        </w:rPr>
        <w:t xml:space="preserve">In </w:t>
      </w:r>
      <w:r w:rsidRPr="009F684E">
        <w:t>Bre</w:t>
      </w:r>
      <w:r>
        <w:t>c</w:t>
      </w:r>
      <w:r w:rsidRPr="009F684E">
        <w:t xml:space="preserve">knell v UK </w:t>
      </w:r>
      <w:r>
        <w:rPr>
          <w:i w:val="0"/>
        </w:rPr>
        <w:t>(2007) para 70 the Court held:</w:t>
      </w:r>
    </w:p>
    <w:p w:rsidR="009F684E" w:rsidRDefault="009F684E" w:rsidP="00014EFC">
      <w:pPr>
        <w:pStyle w:val="BodyText"/>
        <w:jc w:val="both"/>
        <w:rPr>
          <w:i w:val="0"/>
        </w:rPr>
      </w:pPr>
    </w:p>
    <w:p w:rsidR="009F684E" w:rsidRPr="009F684E" w:rsidRDefault="009F684E" w:rsidP="00014EFC">
      <w:pPr>
        <w:pStyle w:val="BodyText"/>
        <w:ind w:left="720"/>
        <w:jc w:val="both"/>
        <w:rPr>
          <w:i w:val="0"/>
        </w:rPr>
      </w:pPr>
      <w:r>
        <w:rPr>
          <w:i w:val="0"/>
        </w:rPr>
        <w:t>“It cannot be the case that any assertion or allegation can trigger a fresh investigat</w:t>
      </w:r>
      <w:r w:rsidR="002577BB">
        <w:rPr>
          <w:i w:val="0"/>
        </w:rPr>
        <w:t xml:space="preserve">ive obligation under Article 2 </w:t>
      </w:r>
      <w:r>
        <w:rPr>
          <w:i w:val="0"/>
        </w:rPr>
        <w:t>. . . Nonetheless, given the fundamental importance of this provision, the State authorities must be sensitive to an</w:t>
      </w:r>
      <w:r w:rsidR="00F42C27">
        <w:rPr>
          <w:i w:val="0"/>
        </w:rPr>
        <w:t>y</w:t>
      </w:r>
      <w:r>
        <w:rPr>
          <w:i w:val="0"/>
        </w:rPr>
        <w:t xml:space="preserve"> information or material which has the potential either to undermine the conclusio</w:t>
      </w:r>
      <w:r w:rsidR="00F42C27">
        <w:rPr>
          <w:i w:val="0"/>
        </w:rPr>
        <w:t>n of an earlier</w:t>
      </w:r>
      <w:r>
        <w:rPr>
          <w:i w:val="0"/>
        </w:rPr>
        <w:t xml:space="preserve"> investigation or to allow an earlier inconclusive invest</w:t>
      </w:r>
      <w:r w:rsidR="002577BB">
        <w:rPr>
          <w:i w:val="0"/>
        </w:rPr>
        <w:t>igation to be pursued further.  . . .</w:t>
      </w:r>
      <w:r w:rsidR="00791323">
        <w:rPr>
          <w:i w:val="0"/>
        </w:rPr>
        <w:t xml:space="preserve"> </w:t>
      </w:r>
      <w:r>
        <w:rPr>
          <w:i w:val="0"/>
        </w:rPr>
        <w:t>The Court has doubts as to whether it is possible to formulate any detailed test which could usefully apply to the myriad of widely-differi</w:t>
      </w:r>
      <w:r w:rsidR="003219B3">
        <w:rPr>
          <w:i w:val="0"/>
        </w:rPr>
        <w:t>ng situations that might arise.”</w:t>
      </w:r>
    </w:p>
    <w:p w:rsidR="00BF21D7" w:rsidRPr="00BF21D7" w:rsidRDefault="00BF21D7" w:rsidP="00014EFC">
      <w:pPr>
        <w:pStyle w:val="BodyText"/>
        <w:ind w:left="720"/>
        <w:jc w:val="both"/>
        <w:rPr>
          <w:b/>
          <w:i w:val="0"/>
        </w:rPr>
      </w:pPr>
    </w:p>
    <w:p w:rsidR="00C51191" w:rsidRDefault="00572BCC" w:rsidP="00014EFC">
      <w:pPr>
        <w:pStyle w:val="Title"/>
        <w:jc w:val="both"/>
        <w:outlineLvl w:val="0"/>
        <w:rPr>
          <w:b w:val="0"/>
        </w:rPr>
      </w:pPr>
      <w:r>
        <w:rPr>
          <w:b w:val="0"/>
        </w:rPr>
        <w:t>However, w</w:t>
      </w:r>
      <w:r w:rsidR="00283A0D">
        <w:rPr>
          <w:b w:val="0"/>
        </w:rPr>
        <w:t>e take it as a given, because of the very serious nature of the allegations under investigation in Operation Kenova, that its investigative obligations must comply with Article 2.</w:t>
      </w:r>
    </w:p>
    <w:p w:rsidR="00BF21D7" w:rsidRDefault="00BF21D7" w:rsidP="00014EFC">
      <w:pPr>
        <w:pStyle w:val="Title"/>
        <w:jc w:val="both"/>
        <w:outlineLvl w:val="0"/>
        <w:rPr>
          <w:b w:val="0"/>
        </w:rPr>
      </w:pPr>
    </w:p>
    <w:p w:rsidR="007418C0" w:rsidRPr="007418C0" w:rsidRDefault="007418C0" w:rsidP="00014EFC">
      <w:pPr>
        <w:pStyle w:val="Title"/>
        <w:numPr>
          <w:ilvl w:val="0"/>
          <w:numId w:val="7"/>
        </w:numPr>
        <w:jc w:val="both"/>
        <w:outlineLvl w:val="0"/>
      </w:pPr>
      <w:r w:rsidRPr="007418C0">
        <w:t>What is the nature of the formal process required when Article 2 applies?</w:t>
      </w:r>
    </w:p>
    <w:p w:rsidR="007418C0" w:rsidRDefault="007418C0" w:rsidP="00014EFC">
      <w:pPr>
        <w:pStyle w:val="Title"/>
        <w:jc w:val="both"/>
        <w:outlineLvl w:val="0"/>
        <w:rPr>
          <w:b w:val="0"/>
          <w:i/>
        </w:rPr>
      </w:pPr>
    </w:p>
    <w:p w:rsidR="007418C0" w:rsidRDefault="007418C0" w:rsidP="00014EFC">
      <w:pPr>
        <w:pStyle w:val="Title"/>
        <w:jc w:val="both"/>
        <w:outlineLvl w:val="0"/>
        <w:rPr>
          <w:b w:val="0"/>
        </w:rPr>
      </w:pPr>
      <w:r>
        <w:rPr>
          <w:b w:val="0"/>
        </w:rPr>
        <w:t xml:space="preserve">The recent judicial review (in admittedly an Article 3 case): </w:t>
      </w:r>
      <w:r>
        <w:rPr>
          <w:b w:val="0"/>
          <w:i/>
        </w:rPr>
        <w:t xml:space="preserve">MA BB </w:t>
      </w:r>
      <w:r>
        <w:rPr>
          <w:b w:val="0"/>
        </w:rPr>
        <w:t>[2019] EWHC 1523 (Admin) appears to contemplate there must be a formal process (whether or not a hearing may be an essential requirement).</w:t>
      </w:r>
    </w:p>
    <w:p w:rsidR="007418C0" w:rsidRDefault="007418C0" w:rsidP="00014EFC">
      <w:pPr>
        <w:pStyle w:val="Title"/>
        <w:ind w:left="720"/>
        <w:jc w:val="both"/>
        <w:outlineLvl w:val="0"/>
        <w:rPr>
          <w:b w:val="0"/>
        </w:rPr>
      </w:pPr>
    </w:p>
    <w:p w:rsidR="007418C0" w:rsidRDefault="007418C0" w:rsidP="00014EFC">
      <w:pPr>
        <w:pStyle w:val="Title"/>
        <w:jc w:val="both"/>
        <w:outlineLvl w:val="0"/>
        <w:rPr>
          <w:b w:val="0"/>
        </w:rPr>
      </w:pPr>
      <w:r>
        <w:rPr>
          <w:b w:val="0"/>
        </w:rPr>
        <w:t>But is it the case that Operation Kenova will carry out purely internal processes before it issues its reports?</w:t>
      </w:r>
    </w:p>
    <w:p w:rsidR="007418C0" w:rsidRDefault="007418C0" w:rsidP="00014EFC">
      <w:pPr>
        <w:pStyle w:val="Title"/>
        <w:ind w:left="720"/>
        <w:jc w:val="both"/>
        <w:outlineLvl w:val="0"/>
        <w:rPr>
          <w:b w:val="0"/>
        </w:rPr>
      </w:pPr>
    </w:p>
    <w:p w:rsidR="007418C0" w:rsidRDefault="007418C0" w:rsidP="00014EFC">
      <w:pPr>
        <w:pStyle w:val="Title"/>
        <w:jc w:val="both"/>
        <w:outlineLvl w:val="0"/>
        <w:rPr>
          <w:b w:val="0"/>
        </w:rPr>
      </w:pPr>
      <w:r>
        <w:rPr>
          <w:b w:val="0"/>
        </w:rPr>
        <w:t>That could be insufficient for full Article 2 compliance. What is the Operation Kenova position on this issue?</w:t>
      </w:r>
    </w:p>
    <w:p w:rsidR="007418C0" w:rsidRPr="003219B3" w:rsidRDefault="007418C0" w:rsidP="00014EFC">
      <w:pPr>
        <w:pStyle w:val="Title"/>
        <w:ind w:left="720"/>
        <w:jc w:val="both"/>
        <w:outlineLvl w:val="0"/>
        <w:rPr>
          <w:i/>
        </w:rPr>
      </w:pPr>
    </w:p>
    <w:p w:rsidR="007418C0" w:rsidRDefault="00840834" w:rsidP="00014EFC">
      <w:pPr>
        <w:pStyle w:val="Title"/>
        <w:jc w:val="both"/>
        <w:outlineLvl w:val="0"/>
        <w:rPr>
          <w:b w:val="0"/>
        </w:rPr>
      </w:pPr>
      <w:r>
        <w:rPr>
          <w:b w:val="0"/>
        </w:rPr>
        <w:lastRenderedPageBreak/>
        <w:t xml:space="preserve">Note, in this context, how the shooting dead of Ronan </w:t>
      </w:r>
      <w:r w:rsidR="007418C0" w:rsidRPr="003219B3">
        <w:rPr>
          <w:b w:val="0"/>
        </w:rPr>
        <w:t>MacLochlainn in Ashford, County Wicklow by gardai led (eventually) to a Commission of Enquiry carried out by Senior Counsel (sitting for 60 days of evidence</w:t>
      </w:r>
      <w:r>
        <w:rPr>
          <w:b w:val="0"/>
        </w:rPr>
        <w:t>)</w:t>
      </w:r>
      <w:r w:rsidR="007418C0" w:rsidRPr="003219B3">
        <w:rPr>
          <w:b w:val="0"/>
        </w:rPr>
        <w:t xml:space="preserve"> and this was followed by a judicial review (as reported in the Irish Times 17 February 2018: Judge refuses to overturn verdict of lawful killing).</w:t>
      </w:r>
    </w:p>
    <w:p w:rsidR="00840834" w:rsidRDefault="00840834" w:rsidP="00014EFC">
      <w:pPr>
        <w:pStyle w:val="Title"/>
        <w:jc w:val="both"/>
        <w:outlineLvl w:val="0"/>
        <w:rPr>
          <w:b w:val="0"/>
        </w:rPr>
      </w:pPr>
    </w:p>
    <w:p w:rsidR="00840834" w:rsidRDefault="00840834" w:rsidP="00014EFC">
      <w:pPr>
        <w:pStyle w:val="Title"/>
        <w:jc w:val="both"/>
        <w:outlineLvl w:val="0"/>
        <w:rPr>
          <w:b w:val="0"/>
        </w:rPr>
      </w:pPr>
      <w:r>
        <w:rPr>
          <w:b w:val="0"/>
        </w:rPr>
        <w:t xml:space="preserve">However, in Operation Kenova the procedures appear to be essentially those of a police investigation (with the addition of the </w:t>
      </w:r>
      <w:r w:rsidR="008905EC" w:rsidRPr="006B4A35">
        <w:rPr>
          <w:b w:val="0"/>
          <w:i/>
        </w:rPr>
        <w:t>ad hoc</w:t>
      </w:r>
      <w:r w:rsidR="008905EC">
        <w:rPr>
          <w:b w:val="0"/>
        </w:rPr>
        <w:t xml:space="preserve"> bodies</w:t>
      </w:r>
      <w:r>
        <w:rPr>
          <w:b w:val="0"/>
        </w:rPr>
        <w:t xml:space="preserve"> to which we refer below).</w:t>
      </w:r>
    </w:p>
    <w:p w:rsidR="00840834" w:rsidRDefault="00840834" w:rsidP="00014EFC">
      <w:pPr>
        <w:pStyle w:val="Title"/>
        <w:jc w:val="both"/>
        <w:outlineLvl w:val="0"/>
        <w:rPr>
          <w:b w:val="0"/>
        </w:rPr>
      </w:pPr>
    </w:p>
    <w:p w:rsidR="00840834" w:rsidRDefault="00840834" w:rsidP="00014EFC">
      <w:pPr>
        <w:pStyle w:val="Title"/>
        <w:jc w:val="both"/>
        <w:outlineLvl w:val="0"/>
        <w:rPr>
          <w:b w:val="0"/>
        </w:rPr>
      </w:pPr>
      <w:r>
        <w:rPr>
          <w:b w:val="0"/>
        </w:rPr>
        <w:t>It also appears that in the great majority of cases where prosecutions cannot be taken (apparently only very few prosecutions may be achieved)</w:t>
      </w:r>
      <w:r w:rsidR="00572BCC">
        <w:rPr>
          <w:rStyle w:val="FootnoteReference"/>
          <w:b w:val="0"/>
        </w:rPr>
        <w:footnoteReference w:id="2"/>
      </w:r>
      <w:r>
        <w:rPr>
          <w:b w:val="0"/>
        </w:rPr>
        <w:t xml:space="preserve"> </w:t>
      </w:r>
      <w:r w:rsidR="00001383">
        <w:rPr>
          <w:b w:val="0"/>
        </w:rPr>
        <w:t>t</w:t>
      </w:r>
      <w:r>
        <w:rPr>
          <w:b w:val="0"/>
        </w:rPr>
        <w:t xml:space="preserve">he ultimate result will be this issue of </w:t>
      </w:r>
      <w:r w:rsidR="00770B57">
        <w:rPr>
          <w:b w:val="0"/>
        </w:rPr>
        <w:t>r</w:t>
      </w:r>
      <w:r>
        <w:rPr>
          <w:b w:val="0"/>
        </w:rPr>
        <w:t xml:space="preserve">eports by Operation </w:t>
      </w:r>
      <w:r w:rsidR="00CA3B8C">
        <w:rPr>
          <w:b w:val="0"/>
        </w:rPr>
        <w:t>Kenova. In</w:t>
      </w:r>
      <w:r w:rsidR="00130FC5">
        <w:rPr>
          <w:b w:val="0"/>
        </w:rPr>
        <w:t xml:space="preserve"> this regard we understand that Kenova has two roles</w:t>
      </w:r>
      <w:r w:rsidR="009E7A92">
        <w:rPr>
          <w:rStyle w:val="FootnoteReference"/>
          <w:b w:val="0"/>
        </w:rPr>
        <w:footnoteReference w:id="3"/>
      </w:r>
      <w:r w:rsidR="00130FC5">
        <w:rPr>
          <w:b w:val="0"/>
        </w:rPr>
        <w:t>:</w:t>
      </w:r>
    </w:p>
    <w:p w:rsidR="00130FC5" w:rsidRDefault="00130FC5" w:rsidP="00014EFC">
      <w:pPr>
        <w:pStyle w:val="Title"/>
        <w:jc w:val="both"/>
        <w:outlineLvl w:val="0"/>
        <w:rPr>
          <w:b w:val="0"/>
        </w:rPr>
      </w:pPr>
    </w:p>
    <w:p w:rsidR="005D460E" w:rsidRDefault="005D460E" w:rsidP="00014EFC">
      <w:pPr>
        <w:pStyle w:val="Title"/>
        <w:numPr>
          <w:ilvl w:val="0"/>
          <w:numId w:val="8"/>
        </w:numPr>
        <w:jc w:val="both"/>
        <w:outlineLvl w:val="0"/>
        <w:rPr>
          <w:b w:val="0"/>
        </w:rPr>
      </w:pPr>
      <w:r>
        <w:rPr>
          <w:b w:val="0"/>
        </w:rPr>
        <w:t>To issue ‘public facing’ reports</w:t>
      </w:r>
      <w:r>
        <w:rPr>
          <w:rStyle w:val="FootnoteReference"/>
          <w:b w:val="0"/>
        </w:rPr>
        <w:footnoteReference w:id="4"/>
      </w:r>
      <w:r>
        <w:rPr>
          <w:b w:val="0"/>
        </w:rPr>
        <w:t xml:space="preserve"> </w:t>
      </w:r>
      <w:r w:rsidR="00657E13">
        <w:rPr>
          <w:b w:val="0"/>
        </w:rPr>
        <w:t>and</w:t>
      </w:r>
    </w:p>
    <w:p w:rsidR="00130FC5" w:rsidRDefault="005D460E" w:rsidP="00014EFC">
      <w:pPr>
        <w:pStyle w:val="Title"/>
        <w:numPr>
          <w:ilvl w:val="0"/>
          <w:numId w:val="8"/>
        </w:numPr>
        <w:jc w:val="both"/>
        <w:outlineLvl w:val="0"/>
        <w:rPr>
          <w:b w:val="0"/>
        </w:rPr>
      </w:pPr>
      <w:r>
        <w:rPr>
          <w:b w:val="0"/>
        </w:rPr>
        <w:t>An ‘updating families’ role</w:t>
      </w:r>
      <w:r>
        <w:rPr>
          <w:rStyle w:val="FootnoteReference"/>
          <w:b w:val="0"/>
        </w:rPr>
        <w:footnoteReference w:id="5"/>
      </w:r>
      <w:r w:rsidR="008569AE">
        <w:rPr>
          <w:b w:val="0"/>
        </w:rPr>
        <w:t>.</w:t>
      </w:r>
    </w:p>
    <w:p w:rsidR="00130FC5" w:rsidRDefault="00130FC5" w:rsidP="00014EFC">
      <w:pPr>
        <w:pStyle w:val="Title"/>
        <w:ind w:left="720"/>
        <w:jc w:val="both"/>
        <w:outlineLvl w:val="0"/>
        <w:rPr>
          <w:b w:val="0"/>
        </w:rPr>
      </w:pPr>
    </w:p>
    <w:p w:rsidR="00130FC5" w:rsidRDefault="00130FC5" w:rsidP="00014EFC">
      <w:pPr>
        <w:pStyle w:val="Title"/>
        <w:jc w:val="both"/>
        <w:outlineLvl w:val="0"/>
        <w:rPr>
          <w:b w:val="0"/>
        </w:rPr>
      </w:pPr>
      <w:r>
        <w:rPr>
          <w:b w:val="0"/>
        </w:rPr>
        <w:t>But it</w:t>
      </w:r>
      <w:r w:rsidR="00791323">
        <w:rPr>
          <w:b w:val="0"/>
        </w:rPr>
        <w:t xml:space="preserve"> i</w:t>
      </w:r>
      <w:r>
        <w:rPr>
          <w:b w:val="0"/>
        </w:rPr>
        <w:t>s not clear to us if these will be two categories of reports and, if so, how will they differ?</w:t>
      </w:r>
    </w:p>
    <w:p w:rsidR="00840834" w:rsidRDefault="00840834" w:rsidP="00014EFC">
      <w:pPr>
        <w:pStyle w:val="Title"/>
        <w:jc w:val="both"/>
        <w:outlineLvl w:val="0"/>
        <w:rPr>
          <w:b w:val="0"/>
        </w:rPr>
      </w:pPr>
    </w:p>
    <w:p w:rsidR="00840834" w:rsidRDefault="00130FC5" w:rsidP="00014EFC">
      <w:pPr>
        <w:pStyle w:val="Title"/>
        <w:jc w:val="both"/>
        <w:outlineLvl w:val="0"/>
        <w:rPr>
          <w:b w:val="0"/>
        </w:rPr>
      </w:pPr>
      <w:r>
        <w:rPr>
          <w:b w:val="0"/>
        </w:rPr>
        <w:t>In any case</w:t>
      </w:r>
      <w:r w:rsidR="00840834">
        <w:rPr>
          <w:b w:val="0"/>
        </w:rPr>
        <w:t xml:space="preserve"> would </w:t>
      </w:r>
      <w:r w:rsidR="002D4F88">
        <w:rPr>
          <w:b w:val="0"/>
        </w:rPr>
        <w:t>the ‘Updating</w:t>
      </w:r>
      <w:r w:rsidR="005D460E">
        <w:rPr>
          <w:b w:val="0"/>
        </w:rPr>
        <w:t xml:space="preserve"> families’ </w:t>
      </w:r>
      <w:r w:rsidR="00CA3B8C">
        <w:rPr>
          <w:b w:val="0"/>
        </w:rPr>
        <w:t>role duly</w:t>
      </w:r>
      <w:r w:rsidR="00840834">
        <w:rPr>
          <w:b w:val="0"/>
        </w:rPr>
        <w:t xml:space="preserve"> constitute the formal process as apparently required by Article 2</w:t>
      </w:r>
      <w:r w:rsidR="00001383">
        <w:rPr>
          <w:b w:val="0"/>
        </w:rPr>
        <w:t>?</w:t>
      </w:r>
      <w:r w:rsidR="00840834">
        <w:rPr>
          <w:b w:val="0"/>
        </w:rPr>
        <w:t xml:space="preserve"> (</w:t>
      </w:r>
      <w:r w:rsidR="006451EC">
        <w:rPr>
          <w:b w:val="0"/>
        </w:rPr>
        <w:t>Some f</w:t>
      </w:r>
      <w:bookmarkStart w:id="0" w:name="_GoBack"/>
      <w:bookmarkEnd w:id="0"/>
      <w:r w:rsidR="00840834">
        <w:rPr>
          <w:b w:val="0"/>
        </w:rPr>
        <w:t xml:space="preserve">urther questions in regard to such Operation Kenova </w:t>
      </w:r>
      <w:r w:rsidR="00770B57">
        <w:rPr>
          <w:b w:val="0"/>
        </w:rPr>
        <w:t>r</w:t>
      </w:r>
      <w:r w:rsidR="00840834">
        <w:rPr>
          <w:b w:val="0"/>
        </w:rPr>
        <w:t>eports are listed below.)</w:t>
      </w:r>
    </w:p>
    <w:p w:rsidR="000846ED" w:rsidRDefault="000846ED" w:rsidP="00014EFC">
      <w:pPr>
        <w:pStyle w:val="Title"/>
        <w:jc w:val="both"/>
        <w:outlineLvl w:val="0"/>
        <w:rPr>
          <w:b w:val="0"/>
        </w:rPr>
      </w:pPr>
    </w:p>
    <w:p w:rsidR="00DC22A2" w:rsidRPr="00840834" w:rsidRDefault="00DC22A2" w:rsidP="00014EFC">
      <w:pPr>
        <w:pStyle w:val="Title"/>
        <w:jc w:val="both"/>
        <w:outlineLvl w:val="0"/>
        <w:rPr>
          <w:b w:val="0"/>
        </w:rPr>
      </w:pPr>
      <w:r>
        <w:rPr>
          <w:b w:val="0"/>
        </w:rPr>
        <w:t>In particular, we make the point below (section 4) that Kenova cannot properly perform any adjudicatory function in any of its reports. But even if an independent adjudicatory element is introduced</w:t>
      </w:r>
      <w:r w:rsidR="007F48D2">
        <w:rPr>
          <w:b w:val="0"/>
        </w:rPr>
        <w:t>,</w:t>
      </w:r>
      <w:r>
        <w:rPr>
          <w:b w:val="0"/>
        </w:rPr>
        <w:t xml:space="preserve"> there are still vital elements of procedural fairness by whoever performs such adjudicatory function.</w:t>
      </w:r>
    </w:p>
    <w:p w:rsidR="007418C0" w:rsidRPr="003219B3" w:rsidRDefault="007418C0" w:rsidP="00014EFC">
      <w:pPr>
        <w:pStyle w:val="Title"/>
        <w:ind w:left="720"/>
        <w:jc w:val="both"/>
        <w:outlineLvl w:val="0"/>
        <w:rPr>
          <w:b w:val="0"/>
        </w:rPr>
      </w:pPr>
    </w:p>
    <w:p w:rsidR="00C52325" w:rsidRDefault="009E0797" w:rsidP="00014EFC">
      <w:pPr>
        <w:pStyle w:val="Title"/>
        <w:jc w:val="both"/>
        <w:outlineLvl w:val="0"/>
        <w:rPr>
          <w:b w:val="0"/>
        </w:rPr>
      </w:pPr>
      <w:r>
        <w:rPr>
          <w:b w:val="0"/>
        </w:rPr>
        <w:t>No doubt</w:t>
      </w:r>
      <w:r w:rsidR="00DC22A2">
        <w:rPr>
          <w:b w:val="0"/>
        </w:rPr>
        <w:t>, and nevertheless,</w:t>
      </w:r>
      <w:r>
        <w:rPr>
          <w:b w:val="0"/>
        </w:rPr>
        <w:t xml:space="preserve"> the expectation of</w:t>
      </w:r>
      <w:r w:rsidR="00DC22A2">
        <w:rPr>
          <w:b w:val="0"/>
        </w:rPr>
        <w:t xml:space="preserve"> victims’ </w:t>
      </w:r>
      <w:r>
        <w:rPr>
          <w:b w:val="0"/>
        </w:rPr>
        <w:t>families will be (based on the many assurances to them of the delivery of ‘truth’) that</w:t>
      </w:r>
      <w:r w:rsidR="00DC22A2">
        <w:rPr>
          <w:b w:val="0"/>
        </w:rPr>
        <w:t xml:space="preserve"> any adjudication</w:t>
      </w:r>
      <w:r>
        <w:rPr>
          <w:b w:val="0"/>
        </w:rPr>
        <w:t xml:space="preserve"> will reveal any criminality and attribute blame for any misfeasance.</w:t>
      </w:r>
    </w:p>
    <w:p w:rsidR="00C52325" w:rsidRDefault="00C52325" w:rsidP="00014EFC">
      <w:pPr>
        <w:pStyle w:val="Title"/>
        <w:jc w:val="both"/>
        <w:outlineLvl w:val="0"/>
        <w:rPr>
          <w:b w:val="0"/>
        </w:rPr>
      </w:pPr>
    </w:p>
    <w:p w:rsidR="007418C0" w:rsidRDefault="009E0797" w:rsidP="00014EFC">
      <w:pPr>
        <w:pStyle w:val="Title"/>
        <w:jc w:val="both"/>
        <w:outlineLvl w:val="0"/>
        <w:rPr>
          <w:b w:val="0"/>
        </w:rPr>
      </w:pPr>
      <w:r>
        <w:rPr>
          <w:b w:val="0"/>
        </w:rPr>
        <w:t>However, o</w:t>
      </w:r>
      <w:r w:rsidR="007418C0" w:rsidRPr="003219B3">
        <w:rPr>
          <w:b w:val="0"/>
        </w:rPr>
        <w:t xml:space="preserve">n the one hand, it cannot be acceptable that truncated procedures </w:t>
      </w:r>
      <w:r>
        <w:rPr>
          <w:b w:val="0"/>
        </w:rPr>
        <w:t xml:space="preserve">are adopted denying </w:t>
      </w:r>
      <w:r w:rsidR="007418C0" w:rsidRPr="003219B3">
        <w:rPr>
          <w:b w:val="0"/>
        </w:rPr>
        <w:t xml:space="preserve">those </w:t>
      </w:r>
      <w:r>
        <w:rPr>
          <w:b w:val="0"/>
        </w:rPr>
        <w:t xml:space="preserve">so </w:t>
      </w:r>
      <w:r w:rsidR="007418C0" w:rsidRPr="003219B3">
        <w:rPr>
          <w:b w:val="0"/>
        </w:rPr>
        <w:t>‘accused’</w:t>
      </w:r>
      <w:r>
        <w:rPr>
          <w:b w:val="0"/>
        </w:rPr>
        <w:t xml:space="preserve"> or ‘blamed’ </w:t>
      </w:r>
      <w:r w:rsidR="00C52325">
        <w:rPr>
          <w:b w:val="0"/>
        </w:rPr>
        <w:t xml:space="preserve">full and </w:t>
      </w:r>
      <w:r w:rsidR="007418C0" w:rsidRPr="003219B3">
        <w:rPr>
          <w:b w:val="0"/>
        </w:rPr>
        <w:t xml:space="preserve">fair participation </w:t>
      </w:r>
      <w:r>
        <w:rPr>
          <w:b w:val="0"/>
        </w:rPr>
        <w:t>before any such ‘adjudication’ against them is made.</w:t>
      </w:r>
      <w:r w:rsidR="007418C0">
        <w:rPr>
          <w:b w:val="0"/>
        </w:rPr>
        <w:t xml:space="preserve"> On the other hand, clearly the volume of Article 2 cases in Northern Ireland has to be taken into account</w:t>
      </w:r>
      <w:r w:rsidR="00A43194">
        <w:rPr>
          <w:b w:val="0"/>
        </w:rPr>
        <w:t>. Thus, as a practical matter,</w:t>
      </w:r>
      <w:r w:rsidR="007F48D2">
        <w:rPr>
          <w:b w:val="0"/>
        </w:rPr>
        <w:t xml:space="preserve"> there will be </w:t>
      </w:r>
      <w:r w:rsidR="00A43194">
        <w:rPr>
          <w:b w:val="0"/>
        </w:rPr>
        <w:t>substantial</w:t>
      </w:r>
      <w:r>
        <w:rPr>
          <w:b w:val="0"/>
        </w:rPr>
        <w:t xml:space="preserve"> </w:t>
      </w:r>
      <w:r w:rsidR="007F48D2">
        <w:rPr>
          <w:b w:val="0"/>
        </w:rPr>
        <w:t xml:space="preserve">difficulty in delivering </w:t>
      </w:r>
      <w:r>
        <w:rPr>
          <w:b w:val="0"/>
        </w:rPr>
        <w:t>the full and fair</w:t>
      </w:r>
      <w:r w:rsidR="007F48D2">
        <w:rPr>
          <w:b w:val="0"/>
        </w:rPr>
        <w:t xml:space="preserve"> adjudicatory </w:t>
      </w:r>
      <w:r>
        <w:rPr>
          <w:b w:val="0"/>
        </w:rPr>
        <w:t xml:space="preserve">processes (such as in the </w:t>
      </w:r>
      <w:r>
        <w:rPr>
          <w:b w:val="0"/>
          <w:i/>
        </w:rPr>
        <w:t xml:space="preserve">MA BB </w:t>
      </w:r>
      <w:r>
        <w:rPr>
          <w:b w:val="0"/>
        </w:rPr>
        <w:t>and</w:t>
      </w:r>
      <w:r w:rsidR="00C52325">
        <w:rPr>
          <w:b w:val="0"/>
        </w:rPr>
        <w:t xml:space="preserve"> </w:t>
      </w:r>
      <w:r w:rsidR="00C52325" w:rsidRPr="00C52325">
        <w:rPr>
          <w:b w:val="0"/>
          <w:i/>
        </w:rPr>
        <w:t>Ronan MacLochlainn</w:t>
      </w:r>
      <w:r w:rsidR="00C52325">
        <w:rPr>
          <w:b w:val="0"/>
        </w:rPr>
        <w:t xml:space="preserve"> cases)</w:t>
      </w:r>
      <w:r w:rsidR="007F48D2">
        <w:rPr>
          <w:b w:val="0"/>
        </w:rPr>
        <w:t xml:space="preserve"> that must be required </w:t>
      </w:r>
      <w:r>
        <w:rPr>
          <w:b w:val="0"/>
        </w:rPr>
        <w:t>for each and every case</w:t>
      </w:r>
      <w:r w:rsidR="007418C0">
        <w:rPr>
          <w:b w:val="0"/>
        </w:rPr>
        <w:t xml:space="preserve">. </w:t>
      </w:r>
    </w:p>
    <w:p w:rsidR="007418C0" w:rsidRDefault="007418C0" w:rsidP="00014EFC">
      <w:pPr>
        <w:pStyle w:val="Title"/>
        <w:ind w:left="720"/>
        <w:jc w:val="both"/>
        <w:outlineLvl w:val="0"/>
        <w:rPr>
          <w:b w:val="0"/>
        </w:rPr>
      </w:pPr>
    </w:p>
    <w:p w:rsidR="007418C0" w:rsidRDefault="007418C0" w:rsidP="00014EFC">
      <w:pPr>
        <w:pStyle w:val="Title"/>
        <w:jc w:val="both"/>
        <w:outlineLvl w:val="0"/>
        <w:rPr>
          <w:b w:val="0"/>
        </w:rPr>
      </w:pPr>
      <w:r>
        <w:rPr>
          <w:b w:val="0"/>
        </w:rPr>
        <w:t>This is a conundrum, but one should not avoid its consideration.</w:t>
      </w:r>
    </w:p>
    <w:p w:rsidR="007418C0" w:rsidRDefault="007418C0" w:rsidP="00014EFC">
      <w:pPr>
        <w:pStyle w:val="Title"/>
        <w:jc w:val="both"/>
        <w:outlineLvl w:val="0"/>
        <w:rPr>
          <w:b w:val="0"/>
        </w:rPr>
      </w:pPr>
    </w:p>
    <w:p w:rsidR="007418C0" w:rsidRDefault="007418C0" w:rsidP="00014EFC">
      <w:pPr>
        <w:pStyle w:val="Title"/>
        <w:jc w:val="both"/>
        <w:outlineLvl w:val="0"/>
        <w:rPr>
          <w:b w:val="0"/>
        </w:rPr>
      </w:pPr>
    </w:p>
    <w:p w:rsidR="003219B3" w:rsidRPr="00AD38EE" w:rsidRDefault="003219B3" w:rsidP="00014EFC">
      <w:pPr>
        <w:pStyle w:val="BodyText"/>
        <w:numPr>
          <w:ilvl w:val="0"/>
          <w:numId w:val="7"/>
        </w:numPr>
        <w:jc w:val="both"/>
        <w:rPr>
          <w:b/>
          <w:i w:val="0"/>
        </w:rPr>
      </w:pPr>
      <w:r w:rsidRPr="00AD38EE">
        <w:rPr>
          <w:b/>
          <w:i w:val="0"/>
        </w:rPr>
        <w:lastRenderedPageBreak/>
        <w:t xml:space="preserve">The </w:t>
      </w:r>
      <w:r w:rsidR="00CC1821">
        <w:rPr>
          <w:b/>
          <w:i w:val="0"/>
        </w:rPr>
        <w:t xml:space="preserve">essential </w:t>
      </w:r>
      <w:r w:rsidRPr="00AD38EE">
        <w:rPr>
          <w:b/>
          <w:i w:val="0"/>
        </w:rPr>
        <w:t xml:space="preserve">distinction between investigation </w:t>
      </w:r>
      <w:r w:rsidR="009448B6">
        <w:rPr>
          <w:b/>
          <w:i w:val="0"/>
        </w:rPr>
        <w:t>and</w:t>
      </w:r>
      <w:r w:rsidRPr="00AD38EE">
        <w:rPr>
          <w:b/>
          <w:i w:val="0"/>
        </w:rPr>
        <w:t xml:space="preserve"> adjudication </w:t>
      </w:r>
    </w:p>
    <w:p w:rsidR="003219B3" w:rsidRPr="00AD38EE" w:rsidRDefault="003219B3" w:rsidP="00014EFC">
      <w:pPr>
        <w:pStyle w:val="BodyText"/>
        <w:jc w:val="both"/>
        <w:rPr>
          <w:b/>
          <w:i w:val="0"/>
        </w:rPr>
      </w:pPr>
    </w:p>
    <w:p w:rsidR="003219B3" w:rsidRDefault="00CC1821" w:rsidP="00014EFC">
      <w:pPr>
        <w:pStyle w:val="Title"/>
        <w:jc w:val="both"/>
        <w:outlineLvl w:val="0"/>
        <w:rPr>
          <w:b w:val="0"/>
        </w:rPr>
      </w:pPr>
      <w:r>
        <w:rPr>
          <w:b w:val="0"/>
        </w:rPr>
        <w:t xml:space="preserve"> It appears </w:t>
      </w:r>
      <w:r w:rsidR="00CA3B8C">
        <w:rPr>
          <w:b w:val="0"/>
        </w:rPr>
        <w:t>that Article</w:t>
      </w:r>
      <w:r w:rsidR="003219B3">
        <w:rPr>
          <w:b w:val="0"/>
        </w:rPr>
        <w:t xml:space="preserve"> 2 require some form of independent adjudication as well as and separate from the investigatory process</w:t>
      </w:r>
    </w:p>
    <w:p w:rsidR="003219B3" w:rsidRDefault="003219B3" w:rsidP="00014EFC">
      <w:pPr>
        <w:pStyle w:val="Title"/>
        <w:jc w:val="both"/>
        <w:outlineLvl w:val="0"/>
        <w:rPr>
          <w:b w:val="0"/>
        </w:rPr>
      </w:pPr>
    </w:p>
    <w:p w:rsidR="00A06520" w:rsidRDefault="003219B3" w:rsidP="00014EFC">
      <w:pPr>
        <w:pStyle w:val="Title"/>
        <w:jc w:val="both"/>
        <w:outlineLvl w:val="0"/>
        <w:rPr>
          <w:b w:val="0"/>
        </w:rPr>
      </w:pPr>
      <w:r>
        <w:rPr>
          <w:b w:val="0"/>
        </w:rPr>
        <w:t>Analogy may be drawn with the role of the Police Ombudsman for Northern Ireland (‘PONI’</w:t>
      </w:r>
      <w:r w:rsidR="000846ED">
        <w:rPr>
          <w:b w:val="0"/>
        </w:rPr>
        <w:t>)</w:t>
      </w:r>
      <w:r>
        <w:rPr>
          <w:b w:val="0"/>
        </w:rPr>
        <w:t xml:space="preserve"> issuing </w:t>
      </w:r>
      <w:r w:rsidR="00770B57">
        <w:rPr>
          <w:b w:val="0"/>
        </w:rPr>
        <w:t>r</w:t>
      </w:r>
      <w:r>
        <w:rPr>
          <w:b w:val="0"/>
        </w:rPr>
        <w:t xml:space="preserve">eports. In </w:t>
      </w:r>
      <w:r w:rsidRPr="003219B3">
        <w:rPr>
          <w:b w:val="0"/>
          <w:i/>
        </w:rPr>
        <w:t>Re Hawthorne’s and White’s Application</w:t>
      </w:r>
      <w:r w:rsidR="00824743">
        <w:rPr>
          <w:rStyle w:val="FootnoteReference"/>
          <w:b w:val="0"/>
          <w:i/>
        </w:rPr>
        <w:footnoteReference w:id="6"/>
      </w:r>
      <w:r w:rsidR="00824743">
        <w:rPr>
          <w:b w:val="0"/>
          <w:i/>
        </w:rPr>
        <w:t xml:space="preserve"> </w:t>
      </w:r>
      <w:r>
        <w:rPr>
          <w:b w:val="0"/>
        </w:rPr>
        <w:t>the Court of Appeal held that PONI’s principal role is investigatory and not adjudicative</w:t>
      </w:r>
      <w:r w:rsidR="00824743">
        <w:rPr>
          <w:rStyle w:val="FootnoteReference"/>
          <w:b w:val="0"/>
        </w:rPr>
        <w:footnoteReference w:id="7"/>
      </w:r>
      <w:r>
        <w:rPr>
          <w:b w:val="0"/>
        </w:rPr>
        <w:t xml:space="preserve">. </w:t>
      </w:r>
    </w:p>
    <w:p w:rsidR="00824743" w:rsidRDefault="00824743" w:rsidP="00014EFC">
      <w:pPr>
        <w:pStyle w:val="Title"/>
        <w:jc w:val="both"/>
        <w:outlineLvl w:val="0"/>
        <w:rPr>
          <w:i/>
        </w:rPr>
      </w:pPr>
    </w:p>
    <w:p w:rsidR="00A06520" w:rsidRDefault="00A06520" w:rsidP="00014EFC">
      <w:pPr>
        <w:pStyle w:val="Title"/>
        <w:jc w:val="both"/>
        <w:outlineLvl w:val="0"/>
        <w:rPr>
          <w:b w:val="0"/>
        </w:rPr>
      </w:pPr>
      <w:r>
        <w:rPr>
          <w:b w:val="0"/>
        </w:rPr>
        <w:t xml:space="preserve">Clearly, </w:t>
      </w:r>
      <w:r w:rsidR="0094533B">
        <w:rPr>
          <w:b w:val="0"/>
        </w:rPr>
        <w:t>the</w:t>
      </w:r>
      <w:r>
        <w:rPr>
          <w:b w:val="0"/>
        </w:rPr>
        <w:t xml:space="preserve"> requirements of Article 2 as laid down by the Court entail some form of adjudicative element</w:t>
      </w:r>
      <w:r w:rsidR="00824743">
        <w:rPr>
          <w:b w:val="0"/>
        </w:rPr>
        <w:t>.</w:t>
      </w:r>
      <w:r>
        <w:rPr>
          <w:i/>
        </w:rPr>
        <w:t xml:space="preserve"> </w:t>
      </w:r>
      <w:r>
        <w:rPr>
          <w:b w:val="0"/>
        </w:rPr>
        <w:t xml:space="preserve">But to follow the direction laid down by our Court of </w:t>
      </w:r>
      <w:r w:rsidR="00CA3B8C">
        <w:rPr>
          <w:b w:val="0"/>
        </w:rPr>
        <w:t>Appeal there</w:t>
      </w:r>
      <w:r>
        <w:rPr>
          <w:b w:val="0"/>
        </w:rPr>
        <w:t xml:space="preserve"> must be </w:t>
      </w:r>
      <w:r w:rsidR="00A928FF">
        <w:rPr>
          <w:b w:val="0"/>
        </w:rPr>
        <w:t xml:space="preserve">rigorous </w:t>
      </w:r>
      <w:r>
        <w:rPr>
          <w:b w:val="0"/>
        </w:rPr>
        <w:t>separation of the investigatory and adjudicative elements.</w:t>
      </w:r>
    </w:p>
    <w:p w:rsidR="00A06520" w:rsidRDefault="00A06520" w:rsidP="00014EFC">
      <w:pPr>
        <w:pStyle w:val="Title"/>
        <w:jc w:val="both"/>
        <w:outlineLvl w:val="0"/>
        <w:rPr>
          <w:b w:val="0"/>
        </w:rPr>
      </w:pPr>
      <w:r>
        <w:rPr>
          <w:b w:val="0"/>
        </w:rPr>
        <w:t xml:space="preserve"> </w:t>
      </w:r>
    </w:p>
    <w:p w:rsidR="00A06520" w:rsidRDefault="00A06520" w:rsidP="00014EFC">
      <w:pPr>
        <w:pStyle w:val="Title"/>
        <w:jc w:val="both"/>
        <w:outlineLvl w:val="0"/>
        <w:rPr>
          <w:b w:val="0"/>
        </w:rPr>
      </w:pPr>
      <w:r>
        <w:rPr>
          <w:b w:val="0"/>
        </w:rPr>
        <w:t>But it does not appear that investigations of the nature of Operation Kenova, however well organised and carried out</w:t>
      </w:r>
      <w:r w:rsidR="00840834">
        <w:rPr>
          <w:b w:val="0"/>
        </w:rPr>
        <w:t xml:space="preserve"> as a police investigatory process</w:t>
      </w:r>
      <w:r>
        <w:rPr>
          <w:b w:val="0"/>
        </w:rPr>
        <w:t xml:space="preserve">, </w:t>
      </w:r>
      <w:r w:rsidR="00E54255">
        <w:rPr>
          <w:b w:val="0"/>
        </w:rPr>
        <w:t>can properly</w:t>
      </w:r>
      <w:r w:rsidR="00DC22A2">
        <w:rPr>
          <w:b w:val="0"/>
        </w:rPr>
        <w:t xml:space="preserve"> also contain any element of adjudication</w:t>
      </w:r>
      <w:r w:rsidR="00A928FF">
        <w:rPr>
          <w:b w:val="0"/>
        </w:rPr>
        <w:t>.</w:t>
      </w:r>
    </w:p>
    <w:p w:rsidR="00AC77F2" w:rsidRDefault="00AC77F2" w:rsidP="00014EFC">
      <w:pPr>
        <w:pStyle w:val="Title"/>
        <w:jc w:val="both"/>
        <w:outlineLvl w:val="0"/>
        <w:rPr>
          <w:b w:val="0"/>
        </w:rPr>
      </w:pPr>
    </w:p>
    <w:p w:rsidR="00AC77F2" w:rsidRDefault="00AC77F2" w:rsidP="00014EFC">
      <w:pPr>
        <w:pStyle w:val="Title"/>
        <w:jc w:val="both"/>
        <w:outlineLvl w:val="0"/>
        <w:rPr>
          <w:b w:val="0"/>
        </w:rPr>
      </w:pPr>
      <w:r>
        <w:rPr>
          <w:b w:val="0"/>
        </w:rPr>
        <w:t xml:space="preserve">We revert to the matter of </w:t>
      </w:r>
      <w:r>
        <w:rPr>
          <w:b w:val="0"/>
          <w:i/>
        </w:rPr>
        <w:t xml:space="preserve">vires </w:t>
      </w:r>
      <w:r>
        <w:rPr>
          <w:b w:val="0"/>
        </w:rPr>
        <w:t xml:space="preserve">raised in section 1. Clearly, it is impermissible for the PSNI Chief Constable/PSNI </w:t>
      </w:r>
      <w:r w:rsidR="00471508">
        <w:rPr>
          <w:b w:val="0"/>
        </w:rPr>
        <w:t>o</w:t>
      </w:r>
      <w:r>
        <w:rPr>
          <w:b w:val="0"/>
        </w:rPr>
        <w:t xml:space="preserve">fficers to perform any adjudicatory role, as opposed to their proper investigatory role. Thus also it is impermissible for Mr Boutcher/Operation Kenova </w:t>
      </w:r>
      <w:r w:rsidR="004C030E">
        <w:rPr>
          <w:b w:val="0"/>
        </w:rPr>
        <w:t>o</w:t>
      </w:r>
      <w:r>
        <w:rPr>
          <w:b w:val="0"/>
        </w:rPr>
        <w:t>fficers to perform any adjudicatory role as they do not have any statutory authority beyond that of acting in the role and with the powers of PSNI officers.</w:t>
      </w:r>
      <w:r w:rsidR="009C00C0">
        <w:rPr>
          <w:b w:val="0"/>
        </w:rPr>
        <w:t xml:space="preserve"> In sum, where PSNI cannot perform any adjudi</w:t>
      </w:r>
      <w:r w:rsidR="00471508">
        <w:rPr>
          <w:b w:val="0"/>
        </w:rPr>
        <w:t>catory role Mr Boutcher/Kenova o</w:t>
      </w:r>
      <w:r w:rsidR="009C00C0">
        <w:rPr>
          <w:b w:val="0"/>
        </w:rPr>
        <w:t>fficers cannot perform such role.</w:t>
      </w:r>
    </w:p>
    <w:p w:rsidR="009C00C0" w:rsidRDefault="009C00C0" w:rsidP="00014EFC">
      <w:pPr>
        <w:pStyle w:val="Title"/>
        <w:jc w:val="both"/>
        <w:outlineLvl w:val="0"/>
        <w:rPr>
          <w:b w:val="0"/>
        </w:rPr>
      </w:pPr>
    </w:p>
    <w:p w:rsidR="009C00C0" w:rsidRDefault="009C00C0" w:rsidP="00014EFC">
      <w:pPr>
        <w:pStyle w:val="Title"/>
        <w:jc w:val="both"/>
        <w:outlineLvl w:val="0"/>
        <w:rPr>
          <w:b w:val="0"/>
        </w:rPr>
      </w:pPr>
      <w:r>
        <w:rPr>
          <w:b w:val="0"/>
        </w:rPr>
        <w:t xml:space="preserve">We refer above in section 4 to the performance of the adjudicatory role. Where a prosecution is to be taken, then of course the </w:t>
      </w:r>
      <w:r w:rsidR="00935EA9">
        <w:rPr>
          <w:b w:val="0"/>
        </w:rPr>
        <w:t>c</w:t>
      </w:r>
      <w:r>
        <w:rPr>
          <w:b w:val="0"/>
        </w:rPr>
        <w:t xml:space="preserve">ourt performs that role with due process and full defence rights. But, where there is to be </w:t>
      </w:r>
      <w:r w:rsidR="008905EC">
        <w:rPr>
          <w:b w:val="0"/>
        </w:rPr>
        <w:t>n</w:t>
      </w:r>
      <w:r>
        <w:rPr>
          <w:b w:val="0"/>
        </w:rPr>
        <w:t xml:space="preserve">o prosecution, there is a </w:t>
      </w:r>
      <w:r w:rsidRPr="006B4A35">
        <w:rPr>
          <w:b w:val="0"/>
          <w:i/>
        </w:rPr>
        <w:t xml:space="preserve">lacuna </w:t>
      </w:r>
      <w:r>
        <w:rPr>
          <w:b w:val="0"/>
        </w:rPr>
        <w:t>in regards to performance of the adjudicatory role. It seems to us that provision for this urgently needs to be made by way of legislation.</w:t>
      </w:r>
    </w:p>
    <w:p w:rsidR="009C00C0" w:rsidRDefault="009C00C0" w:rsidP="00014EFC">
      <w:pPr>
        <w:pStyle w:val="Title"/>
        <w:jc w:val="both"/>
        <w:outlineLvl w:val="0"/>
        <w:rPr>
          <w:b w:val="0"/>
        </w:rPr>
      </w:pPr>
    </w:p>
    <w:p w:rsidR="00386E76" w:rsidRDefault="009C00C0" w:rsidP="00014EFC">
      <w:pPr>
        <w:pStyle w:val="Title"/>
        <w:jc w:val="both"/>
        <w:outlineLvl w:val="0"/>
        <w:rPr>
          <w:b w:val="0"/>
        </w:rPr>
      </w:pPr>
      <w:r>
        <w:rPr>
          <w:b w:val="0"/>
        </w:rPr>
        <w:t xml:space="preserve">We note that Mr Boutcher himself has made the assessment in the House of </w:t>
      </w:r>
      <w:r w:rsidR="008905EC">
        <w:rPr>
          <w:b w:val="0"/>
        </w:rPr>
        <w:t>Commons in</w:t>
      </w:r>
      <w:r>
        <w:rPr>
          <w:b w:val="0"/>
        </w:rPr>
        <w:t xml:space="preserve"> his evidence to the Northern Ireland Affairs Committee</w:t>
      </w:r>
      <w:r w:rsidR="00386E76">
        <w:rPr>
          <w:b w:val="0"/>
        </w:rPr>
        <w:t xml:space="preserve"> </w:t>
      </w:r>
      <w:r w:rsidR="00935EA9">
        <w:rPr>
          <w:b w:val="0"/>
        </w:rPr>
        <w:t xml:space="preserve">(NIAC) </w:t>
      </w:r>
      <w:r w:rsidR="00386E76">
        <w:rPr>
          <w:b w:val="0"/>
        </w:rPr>
        <w:t>that:</w:t>
      </w:r>
    </w:p>
    <w:p w:rsidR="00386E76" w:rsidRDefault="00386E76" w:rsidP="00014EFC">
      <w:pPr>
        <w:pStyle w:val="Title"/>
        <w:jc w:val="both"/>
        <w:outlineLvl w:val="0"/>
        <w:rPr>
          <w:b w:val="0"/>
        </w:rPr>
      </w:pPr>
    </w:p>
    <w:p w:rsidR="00386E76" w:rsidRDefault="00386E76" w:rsidP="00014EFC">
      <w:pPr>
        <w:pStyle w:val="Title"/>
        <w:ind w:left="720"/>
        <w:jc w:val="both"/>
        <w:outlineLvl w:val="0"/>
        <w:rPr>
          <w:b w:val="0"/>
        </w:rPr>
      </w:pPr>
      <w:r>
        <w:rPr>
          <w:b w:val="0"/>
        </w:rPr>
        <w:t>“Outcomes should not be judged by the criminal justice system alone. The criminal justice system never could nor should be a comprehensive solution for dealing with the past”</w:t>
      </w:r>
      <w:r>
        <w:rPr>
          <w:rStyle w:val="FootnoteReference"/>
          <w:b w:val="0"/>
        </w:rPr>
        <w:footnoteReference w:id="8"/>
      </w:r>
    </w:p>
    <w:p w:rsidR="00343598" w:rsidRDefault="00343598" w:rsidP="00014EFC">
      <w:pPr>
        <w:pStyle w:val="Title"/>
        <w:ind w:left="720"/>
        <w:jc w:val="both"/>
        <w:outlineLvl w:val="0"/>
        <w:rPr>
          <w:b w:val="0"/>
        </w:rPr>
      </w:pPr>
    </w:p>
    <w:p w:rsidR="009C00C0" w:rsidRPr="00E80A50" w:rsidRDefault="00343598" w:rsidP="00343598">
      <w:pPr>
        <w:pStyle w:val="Title"/>
        <w:ind w:left="720" w:hanging="720"/>
        <w:jc w:val="both"/>
        <w:outlineLvl w:val="0"/>
        <w:rPr>
          <w:b w:val="0"/>
        </w:rPr>
      </w:pPr>
      <w:proofErr w:type="gramStart"/>
      <w:r>
        <w:rPr>
          <w:b w:val="0"/>
        </w:rPr>
        <w:t>a</w:t>
      </w:r>
      <w:r w:rsidR="00E9255D">
        <w:rPr>
          <w:b w:val="0"/>
        </w:rPr>
        <w:t>nd</w:t>
      </w:r>
      <w:proofErr w:type="gramEnd"/>
      <w:r>
        <w:rPr>
          <w:b w:val="0"/>
        </w:rPr>
        <w:tab/>
      </w:r>
      <w:r w:rsidR="008905EC">
        <w:rPr>
          <w:b w:val="0"/>
        </w:rPr>
        <w:t>“Because</w:t>
      </w:r>
      <w:r w:rsidR="00E9255D">
        <w:rPr>
          <w:b w:val="0"/>
        </w:rPr>
        <w:t xml:space="preserve"> of my principles, I find that an amnesty is uncomfortable, but</w:t>
      </w:r>
      <w:r w:rsidR="00386E76">
        <w:rPr>
          <w:b w:val="0"/>
        </w:rPr>
        <w:t xml:space="preserve"> we have to accept that prosecutions are incredibly unlikely for cases from so long ago. The focus should be on information recovery, not prosecution, as I mentioned in my opening remarks.”</w:t>
      </w:r>
      <w:r w:rsidR="00E9255D">
        <w:rPr>
          <w:rStyle w:val="FootnoteReference"/>
          <w:b w:val="0"/>
        </w:rPr>
        <w:footnoteReference w:id="9"/>
      </w:r>
    </w:p>
    <w:p w:rsidR="00935860" w:rsidRDefault="00935860" w:rsidP="00014EFC">
      <w:pPr>
        <w:pStyle w:val="Title"/>
        <w:jc w:val="both"/>
        <w:outlineLvl w:val="0"/>
        <w:rPr>
          <w:b w:val="0"/>
        </w:rPr>
      </w:pPr>
    </w:p>
    <w:p w:rsidR="00F474EF" w:rsidRDefault="00E9255D" w:rsidP="00014EFC">
      <w:pPr>
        <w:pStyle w:val="Title"/>
        <w:jc w:val="both"/>
        <w:outlineLvl w:val="0"/>
        <w:rPr>
          <w:b w:val="0"/>
        </w:rPr>
      </w:pPr>
      <w:r>
        <w:rPr>
          <w:b w:val="0"/>
        </w:rPr>
        <w:t>This underscores the dilemma of legacy: how</w:t>
      </w:r>
      <w:r w:rsidR="00D12C7B">
        <w:rPr>
          <w:b w:val="0"/>
        </w:rPr>
        <w:t xml:space="preserve"> can the legacy processes </w:t>
      </w:r>
      <w:proofErr w:type="gramStart"/>
      <w:r w:rsidR="00D12C7B">
        <w:rPr>
          <w:b w:val="0"/>
        </w:rPr>
        <w:t>be</w:t>
      </w:r>
      <w:proofErr w:type="gramEnd"/>
      <w:r w:rsidR="00D12C7B">
        <w:rPr>
          <w:b w:val="0"/>
        </w:rPr>
        <w:t xml:space="preserve"> dealt with</w:t>
      </w:r>
      <w:r>
        <w:rPr>
          <w:b w:val="0"/>
        </w:rPr>
        <w:t xml:space="preserve"> expeditiously, but at all times with</w:t>
      </w:r>
      <w:r w:rsidR="00D12C7B">
        <w:rPr>
          <w:b w:val="0"/>
        </w:rPr>
        <w:t xml:space="preserve"> full due process? </w:t>
      </w:r>
      <w:r>
        <w:rPr>
          <w:b w:val="0"/>
        </w:rPr>
        <w:t>With respect, we submit that Operation Kenova itself cannot properly fulfil</w:t>
      </w:r>
      <w:r w:rsidR="00DD2817">
        <w:rPr>
          <w:b w:val="0"/>
        </w:rPr>
        <w:t xml:space="preserve"> </w:t>
      </w:r>
      <w:r w:rsidR="00DD2817" w:rsidRPr="006B4A35">
        <w:rPr>
          <w:b w:val="0"/>
          <w:i/>
        </w:rPr>
        <w:t>all</w:t>
      </w:r>
      <w:r w:rsidR="00DD2817">
        <w:rPr>
          <w:b w:val="0"/>
        </w:rPr>
        <w:t xml:space="preserve"> the</w:t>
      </w:r>
      <w:r w:rsidR="00D12C7B">
        <w:rPr>
          <w:b w:val="0"/>
        </w:rPr>
        <w:t xml:space="preserve"> necessary</w:t>
      </w:r>
      <w:r w:rsidR="00DD2817">
        <w:rPr>
          <w:b w:val="0"/>
        </w:rPr>
        <w:t xml:space="preserve"> requirements.</w:t>
      </w:r>
    </w:p>
    <w:p w:rsidR="00DC22A2" w:rsidRDefault="00DC22A2" w:rsidP="00014EFC">
      <w:pPr>
        <w:pStyle w:val="Title"/>
        <w:jc w:val="both"/>
        <w:outlineLvl w:val="0"/>
        <w:rPr>
          <w:b w:val="0"/>
        </w:rPr>
      </w:pPr>
    </w:p>
    <w:p w:rsidR="00C51191" w:rsidRDefault="00F474EF" w:rsidP="00014EFC">
      <w:pPr>
        <w:pStyle w:val="Title"/>
        <w:numPr>
          <w:ilvl w:val="0"/>
          <w:numId w:val="7"/>
        </w:numPr>
        <w:jc w:val="both"/>
        <w:outlineLvl w:val="0"/>
      </w:pPr>
      <w:r>
        <w:t>Fair process</w:t>
      </w:r>
    </w:p>
    <w:p w:rsidR="00F474EF" w:rsidRDefault="00F474EF" w:rsidP="00014EFC">
      <w:pPr>
        <w:pStyle w:val="Title"/>
        <w:jc w:val="both"/>
        <w:outlineLvl w:val="0"/>
      </w:pPr>
    </w:p>
    <w:p w:rsidR="00F474EF" w:rsidRDefault="00824743" w:rsidP="00014EFC">
      <w:pPr>
        <w:pStyle w:val="Title"/>
        <w:jc w:val="both"/>
        <w:outlineLvl w:val="0"/>
        <w:rPr>
          <w:b w:val="0"/>
          <w:i/>
        </w:rPr>
      </w:pPr>
      <w:r>
        <w:rPr>
          <w:b w:val="0"/>
        </w:rPr>
        <w:t xml:space="preserve">The requirements for fair process were set out extensively by McCloskey J (as he then was) in his first instance judgment in </w:t>
      </w:r>
      <w:r w:rsidRPr="00824743">
        <w:rPr>
          <w:b w:val="0"/>
          <w:i/>
        </w:rPr>
        <w:t>Hawthorne &amp; White’s Application</w:t>
      </w:r>
      <w:r>
        <w:rPr>
          <w:rStyle w:val="FootnoteReference"/>
          <w:b w:val="0"/>
          <w:i/>
        </w:rPr>
        <w:footnoteReference w:id="10"/>
      </w:r>
      <w:r w:rsidR="00471508">
        <w:rPr>
          <w:b w:val="0"/>
          <w:i/>
        </w:rPr>
        <w:t>.</w:t>
      </w:r>
    </w:p>
    <w:p w:rsidR="00824743" w:rsidRDefault="00824743" w:rsidP="00014EFC">
      <w:pPr>
        <w:pStyle w:val="Title"/>
        <w:jc w:val="both"/>
        <w:outlineLvl w:val="0"/>
        <w:rPr>
          <w:b w:val="0"/>
          <w:i/>
        </w:rPr>
      </w:pPr>
    </w:p>
    <w:p w:rsidR="00824743" w:rsidRDefault="00824743" w:rsidP="00014EFC">
      <w:pPr>
        <w:pStyle w:val="Title"/>
        <w:jc w:val="both"/>
        <w:outlineLvl w:val="0"/>
        <w:rPr>
          <w:b w:val="0"/>
        </w:rPr>
      </w:pPr>
      <w:r>
        <w:rPr>
          <w:b w:val="0"/>
        </w:rPr>
        <w:t>The Court of Appeal for Northern Ireland considered this</w:t>
      </w:r>
      <w:r w:rsidR="00AD6DB5">
        <w:rPr>
          <w:b w:val="0"/>
        </w:rPr>
        <w:t xml:space="preserve"> in its judgment</w:t>
      </w:r>
      <w:r>
        <w:rPr>
          <w:b w:val="0"/>
        </w:rPr>
        <w:t xml:space="preserve"> and ruled:</w:t>
      </w:r>
    </w:p>
    <w:p w:rsidR="00824743" w:rsidRDefault="00824743" w:rsidP="00014EFC">
      <w:pPr>
        <w:pStyle w:val="Title"/>
        <w:jc w:val="both"/>
        <w:outlineLvl w:val="0"/>
        <w:rPr>
          <w:b w:val="0"/>
        </w:rPr>
      </w:pPr>
    </w:p>
    <w:p w:rsidR="00824743" w:rsidRPr="00824743" w:rsidRDefault="00824743" w:rsidP="00014EFC">
      <w:pPr>
        <w:pStyle w:val="Title"/>
        <w:ind w:left="720"/>
        <w:jc w:val="both"/>
        <w:outlineLvl w:val="0"/>
        <w:rPr>
          <w:b w:val="0"/>
        </w:rPr>
      </w:pPr>
      <w:r>
        <w:rPr>
          <w:b w:val="0"/>
        </w:rPr>
        <w:t xml:space="preserve">“ . . . Matters bearing on personal honour and reputation fall within the scope of Article 8 [of the Convention] </w:t>
      </w:r>
      <w:r w:rsidR="00AD6DB5">
        <w:rPr>
          <w:b w:val="0"/>
        </w:rPr>
        <w:t>and where they attain a certain level of gravity and are made in a manner causing prejudice to personal enjoyment of the right of respect for private life they are entitled to protection.</w:t>
      </w:r>
      <w:r w:rsidR="009448B6">
        <w:rPr>
          <w:b w:val="0"/>
        </w:rPr>
        <w:t>”</w:t>
      </w:r>
      <w:r w:rsidR="00AD6DB5">
        <w:rPr>
          <w:rStyle w:val="FootnoteReference"/>
          <w:b w:val="0"/>
        </w:rPr>
        <w:footnoteReference w:id="11"/>
      </w:r>
    </w:p>
    <w:p w:rsidR="00F474EF" w:rsidRDefault="00F474EF" w:rsidP="00014EFC">
      <w:pPr>
        <w:pStyle w:val="Title"/>
        <w:jc w:val="both"/>
        <w:outlineLvl w:val="0"/>
        <w:rPr>
          <w:i/>
        </w:rPr>
      </w:pPr>
    </w:p>
    <w:p w:rsidR="00AD6DB5" w:rsidRPr="00AD6DB5" w:rsidRDefault="00AD6DB5" w:rsidP="00014EFC">
      <w:pPr>
        <w:pStyle w:val="Title"/>
        <w:jc w:val="both"/>
        <w:outlineLvl w:val="0"/>
        <w:rPr>
          <w:b w:val="0"/>
        </w:rPr>
      </w:pPr>
      <w:r w:rsidRPr="00AD6DB5">
        <w:rPr>
          <w:b w:val="0"/>
        </w:rPr>
        <w:t xml:space="preserve">So the </w:t>
      </w:r>
      <w:r w:rsidRPr="00AD6DB5">
        <w:rPr>
          <w:b w:val="0"/>
        </w:rPr>
        <w:tab/>
        <w:t>question</w:t>
      </w:r>
      <w:r>
        <w:rPr>
          <w:b w:val="0"/>
        </w:rPr>
        <w:t>s</w:t>
      </w:r>
      <w:r w:rsidRPr="00AD6DB5">
        <w:rPr>
          <w:b w:val="0"/>
        </w:rPr>
        <w:t xml:space="preserve"> arise as to what protections Operation Kenova has or will put in place firstly as to fair process for those under investigation and secondly for protection of personal honour and reputation for those who might be identified in </w:t>
      </w:r>
      <w:r w:rsidR="00CA3B8C" w:rsidRPr="00AD6DB5">
        <w:rPr>
          <w:b w:val="0"/>
        </w:rPr>
        <w:t>its reports</w:t>
      </w:r>
      <w:r w:rsidRPr="00AD6DB5">
        <w:rPr>
          <w:b w:val="0"/>
        </w:rPr>
        <w:t xml:space="preserve"> in a manner causing prejudice to their personal enjoyment of their right of respect for private </w:t>
      </w:r>
      <w:r w:rsidR="001038A7">
        <w:rPr>
          <w:b w:val="0"/>
        </w:rPr>
        <w:t>life to which they are entitled.</w:t>
      </w:r>
    </w:p>
    <w:p w:rsidR="00AD6DB5" w:rsidRPr="00F474EF" w:rsidRDefault="000846ED" w:rsidP="00014EFC">
      <w:pPr>
        <w:pStyle w:val="Title"/>
        <w:tabs>
          <w:tab w:val="left" w:pos="2989"/>
        </w:tabs>
        <w:jc w:val="both"/>
        <w:outlineLvl w:val="0"/>
        <w:rPr>
          <w:i/>
        </w:rPr>
      </w:pPr>
      <w:r>
        <w:rPr>
          <w:i/>
        </w:rPr>
        <w:tab/>
      </w:r>
    </w:p>
    <w:p w:rsidR="00C51191" w:rsidRDefault="006652B4" w:rsidP="00014EFC">
      <w:pPr>
        <w:pStyle w:val="Title"/>
        <w:numPr>
          <w:ilvl w:val="0"/>
          <w:numId w:val="7"/>
        </w:numPr>
        <w:jc w:val="both"/>
        <w:outlineLvl w:val="0"/>
      </w:pPr>
      <w:r>
        <w:t>Public Scrutiny</w:t>
      </w:r>
    </w:p>
    <w:p w:rsidR="00E86875" w:rsidRDefault="00E86875" w:rsidP="00014EFC">
      <w:pPr>
        <w:pStyle w:val="Title"/>
        <w:jc w:val="both"/>
        <w:outlineLvl w:val="0"/>
      </w:pPr>
    </w:p>
    <w:p w:rsidR="00E86875" w:rsidRDefault="00F474EF" w:rsidP="00014EFC">
      <w:pPr>
        <w:pStyle w:val="Title"/>
        <w:jc w:val="both"/>
        <w:outlineLvl w:val="0"/>
        <w:rPr>
          <w:b w:val="0"/>
        </w:rPr>
      </w:pPr>
      <w:r>
        <w:rPr>
          <w:b w:val="0"/>
        </w:rPr>
        <w:t xml:space="preserve">Para 15 of </w:t>
      </w:r>
      <w:r w:rsidR="00DE57B6">
        <w:rPr>
          <w:b w:val="0"/>
        </w:rPr>
        <w:t xml:space="preserve">the </w:t>
      </w:r>
      <w:r w:rsidR="008569AE">
        <w:rPr>
          <w:b w:val="0"/>
        </w:rPr>
        <w:t>Review</w:t>
      </w:r>
      <w:r w:rsidR="00E86875">
        <w:rPr>
          <w:b w:val="0"/>
        </w:rPr>
        <w:t xml:space="preserve"> </w:t>
      </w:r>
      <w:proofErr w:type="gramStart"/>
      <w:r w:rsidR="00E86875">
        <w:rPr>
          <w:b w:val="0"/>
        </w:rPr>
        <w:t>notes</w:t>
      </w:r>
      <w:proofErr w:type="gramEnd"/>
      <w:r w:rsidR="00E86875">
        <w:rPr>
          <w:b w:val="0"/>
        </w:rPr>
        <w:t xml:space="preserve"> that:</w:t>
      </w:r>
    </w:p>
    <w:p w:rsidR="00E86875" w:rsidRDefault="00E86875" w:rsidP="00014EFC">
      <w:pPr>
        <w:pStyle w:val="Title"/>
        <w:jc w:val="both"/>
        <w:outlineLvl w:val="0"/>
        <w:rPr>
          <w:b w:val="0"/>
        </w:rPr>
      </w:pPr>
    </w:p>
    <w:p w:rsidR="00E86875" w:rsidRDefault="00E86875" w:rsidP="00014EFC">
      <w:pPr>
        <w:pStyle w:val="Title"/>
        <w:ind w:left="720"/>
        <w:jc w:val="both"/>
        <w:outlineLvl w:val="0"/>
        <w:rPr>
          <w:b w:val="0"/>
        </w:rPr>
      </w:pPr>
      <w:r>
        <w:rPr>
          <w:b w:val="0"/>
        </w:rPr>
        <w:t>“</w:t>
      </w:r>
      <w:r w:rsidR="002757C4">
        <w:rPr>
          <w:b w:val="0"/>
        </w:rPr>
        <w:t xml:space="preserve">Article 2 </w:t>
      </w:r>
      <w:r w:rsidR="00F42C27">
        <w:rPr>
          <w:b w:val="0"/>
        </w:rPr>
        <w:t xml:space="preserve">also </w:t>
      </w:r>
      <w:r w:rsidR="002757C4">
        <w:rPr>
          <w:b w:val="0"/>
        </w:rPr>
        <w:t xml:space="preserve">requires </w:t>
      </w:r>
      <w:r>
        <w:rPr>
          <w:b w:val="0"/>
        </w:rPr>
        <w:t xml:space="preserve">(as part and parcel of an effective </w:t>
      </w:r>
      <w:r w:rsidR="002757C4">
        <w:rPr>
          <w:b w:val="0"/>
        </w:rPr>
        <w:t>i</w:t>
      </w:r>
      <w:r>
        <w:rPr>
          <w:b w:val="0"/>
        </w:rPr>
        <w:t>nvestigation) a sufficient element of p</w:t>
      </w:r>
      <w:r w:rsidR="002757C4">
        <w:rPr>
          <w:b w:val="0"/>
        </w:rPr>
        <w:t>ublic scrutiny to secure accountability in practice as well as in theory.”</w:t>
      </w:r>
    </w:p>
    <w:p w:rsidR="003219B3" w:rsidRDefault="003219B3" w:rsidP="00014EFC">
      <w:pPr>
        <w:pStyle w:val="Title"/>
        <w:ind w:left="720"/>
        <w:jc w:val="both"/>
        <w:outlineLvl w:val="0"/>
        <w:rPr>
          <w:b w:val="0"/>
        </w:rPr>
      </w:pPr>
    </w:p>
    <w:p w:rsidR="002757C4" w:rsidRDefault="00F474EF" w:rsidP="00014EFC">
      <w:pPr>
        <w:pStyle w:val="Title"/>
        <w:jc w:val="both"/>
        <w:outlineLvl w:val="0"/>
        <w:rPr>
          <w:b w:val="0"/>
        </w:rPr>
      </w:pPr>
      <w:r>
        <w:rPr>
          <w:b w:val="0"/>
        </w:rPr>
        <w:t xml:space="preserve">The </w:t>
      </w:r>
      <w:r w:rsidR="008569AE">
        <w:rPr>
          <w:b w:val="0"/>
        </w:rPr>
        <w:t>Review</w:t>
      </w:r>
      <w:r w:rsidR="002757C4">
        <w:rPr>
          <w:b w:val="0"/>
        </w:rPr>
        <w:t xml:space="preserve"> goes on to explain that this is not to be assessed according to any check list of simplified criteria:</w:t>
      </w:r>
    </w:p>
    <w:p w:rsidR="002757C4" w:rsidRDefault="002757C4" w:rsidP="00014EFC">
      <w:pPr>
        <w:pStyle w:val="Title"/>
        <w:jc w:val="both"/>
        <w:outlineLvl w:val="0"/>
        <w:rPr>
          <w:b w:val="0"/>
        </w:rPr>
      </w:pPr>
    </w:p>
    <w:p w:rsidR="002757C4" w:rsidRDefault="002757C4" w:rsidP="00014EFC">
      <w:pPr>
        <w:pStyle w:val="Title"/>
        <w:ind w:left="720"/>
        <w:jc w:val="both"/>
        <w:outlineLvl w:val="0"/>
        <w:rPr>
          <w:b w:val="0"/>
        </w:rPr>
      </w:pPr>
      <w:r>
        <w:rPr>
          <w:b w:val="0"/>
        </w:rPr>
        <w:t>“Article 2 has, at its core, the maintenance (or rebuilding) of public confidence in the State’s adherence to the rule of law and seeks to prevent any appearance of collusion in</w:t>
      </w:r>
      <w:r w:rsidR="006652B4">
        <w:rPr>
          <w:b w:val="0"/>
        </w:rPr>
        <w:t>, or</w:t>
      </w:r>
      <w:r>
        <w:rPr>
          <w:b w:val="0"/>
        </w:rPr>
        <w:t xml:space="preserve"> tolerance of</w:t>
      </w:r>
      <w:r w:rsidR="006652B4">
        <w:rPr>
          <w:b w:val="0"/>
        </w:rPr>
        <w:t>, unlawful</w:t>
      </w:r>
      <w:r w:rsidR="00F42C27">
        <w:rPr>
          <w:b w:val="0"/>
        </w:rPr>
        <w:t xml:space="preserve"> acts.”</w:t>
      </w:r>
    </w:p>
    <w:p w:rsidR="00907366" w:rsidRDefault="00907366" w:rsidP="00014EFC">
      <w:pPr>
        <w:pStyle w:val="Title"/>
        <w:ind w:left="720"/>
        <w:jc w:val="both"/>
        <w:outlineLvl w:val="0"/>
        <w:rPr>
          <w:i/>
        </w:rPr>
      </w:pPr>
    </w:p>
    <w:p w:rsidR="00F42C27" w:rsidRDefault="002757C4" w:rsidP="00014EFC">
      <w:pPr>
        <w:pStyle w:val="Title"/>
        <w:jc w:val="both"/>
        <w:outlineLvl w:val="0"/>
        <w:rPr>
          <w:b w:val="0"/>
        </w:rPr>
      </w:pPr>
      <w:r>
        <w:rPr>
          <w:b w:val="0"/>
        </w:rPr>
        <w:t xml:space="preserve">Para 15 of the </w:t>
      </w:r>
      <w:r w:rsidR="008569AE">
        <w:rPr>
          <w:b w:val="0"/>
        </w:rPr>
        <w:t>Review</w:t>
      </w:r>
      <w:r>
        <w:rPr>
          <w:b w:val="0"/>
        </w:rPr>
        <w:t xml:space="preserve"> then cites the observation of the Court in </w:t>
      </w:r>
      <w:r w:rsidRPr="002757C4">
        <w:rPr>
          <w:b w:val="0"/>
          <w:i/>
        </w:rPr>
        <w:t>McKerr v UK</w:t>
      </w:r>
      <w:r>
        <w:rPr>
          <w:b w:val="0"/>
          <w:i/>
        </w:rPr>
        <w:t xml:space="preserve"> </w:t>
      </w:r>
      <w:r>
        <w:rPr>
          <w:b w:val="0"/>
        </w:rPr>
        <w:t>(2002) that</w:t>
      </w:r>
    </w:p>
    <w:p w:rsidR="00F42C27" w:rsidRDefault="00F42C27" w:rsidP="00014EFC">
      <w:pPr>
        <w:pStyle w:val="Title"/>
        <w:jc w:val="both"/>
        <w:outlineLvl w:val="0"/>
        <w:rPr>
          <w:b w:val="0"/>
        </w:rPr>
      </w:pPr>
    </w:p>
    <w:p w:rsidR="00F42C27" w:rsidRDefault="00F42C27" w:rsidP="00014EFC">
      <w:pPr>
        <w:pStyle w:val="Title"/>
        <w:ind w:left="720"/>
        <w:jc w:val="both"/>
        <w:outlineLvl w:val="0"/>
        <w:rPr>
          <w:b w:val="0"/>
        </w:rPr>
      </w:pPr>
      <w:r>
        <w:rPr>
          <w:b w:val="0"/>
        </w:rPr>
        <w:t xml:space="preserve">“. . . </w:t>
      </w:r>
      <w:proofErr w:type="gramStart"/>
      <w:r w:rsidR="002757C4">
        <w:rPr>
          <w:b w:val="0"/>
        </w:rPr>
        <w:t>the</w:t>
      </w:r>
      <w:proofErr w:type="gramEnd"/>
      <w:r w:rsidR="002757C4">
        <w:rPr>
          <w:b w:val="0"/>
        </w:rPr>
        <w:t xml:space="preserve"> degree of public scrutiny required may well vary from case to case but particularly stringent scrutiny must be applied by the relevant domestic authorities </w:t>
      </w:r>
      <w:r w:rsidR="00D43748">
        <w:rPr>
          <w:b w:val="0"/>
        </w:rPr>
        <w:t>to the investigation of a death in which State agents have been implicated.</w:t>
      </w:r>
      <w:r>
        <w:rPr>
          <w:b w:val="0"/>
        </w:rPr>
        <w:t>”</w:t>
      </w:r>
    </w:p>
    <w:p w:rsidR="00F42C27" w:rsidRDefault="00F42C27" w:rsidP="00014EFC">
      <w:pPr>
        <w:pStyle w:val="Title"/>
        <w:jc w:val="both"/>
        <w:outlineLvl w:val="0"/>
        <w:rPr>
          <w:b w:val="0"/>
        </w:rPr>
      </w:pPr>
    </w:p>
    <w:p w:rsidR="003F034D" w:rsidRDefault="003F034D" w:rsidP="00014EFC">
      <w:pPr>
        <w:pStyle w:val="Title"/>
        <w:jc w:val="both"/>
        <w:outlineLvl w:val="0"/>
        <w:rPr>
          <w:b w:val="0"/>
        </w:rPr>
      </w:pPr>
      <w:r>
        <w:rPr>
          <w:b w:val="0"/>
        </w:rPr>
        <w:t>Clearly the Kenova investigation is of such serious allegations and circumstances.</w:t>
      </w:r>
    </w:p>
    <w:p w:rsidR="003F034D" w:rsidRDefault="003F034D" w:rsidP="00014EFC">
      <w:pPr>
        <w:pStyle w:val="Title"/>
        <w:jc w:val="both"/>
        <w:outlineLvl w:val="0"/>
        <w:rPr>
          <w:b w:val="0"/>
        </w:rPr>
      </w:pPr>
    </w:p>
    <w:p w:rsidR="003F034D" w:rsidRDefault="00F42C27" w:rsidP="00014EFC">
      <w:pPr>
        <w:pStyle w:val="Title"/>
        <w:jc w:val="both"/>
        <w:outlineLvl w:val="0"/>
        <w:rPr>
          <w:b w:val="0"/>
        </w:rPr>
      </w:pPr>
      <w:r>
        <w:rPr>
          <w:b w:val="0"/>
        </w:rPr>
        <w:t xml:space="preserve">Para 15 of the </w:t>
      </w:r>
      <w:r w:rsidR="002D4F88">
        <w:rPr>
          <w:b w:val="0"/>
        </w:rPr>
        <w:t>Review</w:t>
      </w:r>
      <w:r w:rsidR="003F034D">
        <w:rPr>
          <w:b w:val="0"/>
        </w:rPr>
        <w:t xml:space="preserve"> then </w:t>
      </w:r>
      <w:proofErr w:type="gramStart"/>
      <w:r w:rsidR="003F034D">
        <w:rPr>
          <w:b w:val="0"/>
        </w:rPr>
        <w:t>goes</w:t>
      </w:r>
      <w:proofErr w:type="gramEnd"/>
      <w:r w:rsidR="003F034D">
        <w:rPr>
          <w:b w:val="0"/>
        </w:rPr>
        <w:t xml:space="preserve"> on to state:</w:t>
      </w:r>
    </w:p>
    <w:p w:rsidR="003F034D" w:rsidRDefault="003F034D" w:rsidP="00014EFC">
      <w:pPr>
        <w:pStyle w:val="Title"/>
        <w:jc w:val="both"/>
        <w:outlineLvl w:val="0"/>
        <w:rPr>
          <w:b w:val="0"/>
        </w:rPr>
      </w:pPr>
    </w:p>
    <w:p w:rsidR="002757C4" w:rsidRPr="00D43748" w:rsidRDefault="002577BB" w:rsidP="00014EFC">
      <w:pPr>
        <w:pStyle w:val="Title"/>
        <w:ind w:left="720"/>
        <w:jc w:val="both"/>
        <w:outlineLvl w:val="0"/>
        <w:rPr>
          <w:i/>
        </w:rPr>
      </w:pPr>
      <w:r>
        <w:rPr>
          <w:b w:val="0"/>
        </w:rPr>
        <w:t xml:space="preserve">“ </w:t>
      </w:r>
      <w:r w:rsidR="003F034D">
        <w:rPr>
          <w:b w:val="0"/>
        </w:rPr>
        <w:t>. . . the Court in finding that the subsequent enquiry did not comply with Article 2, gave weight to the fact that the inquiry’s reports and their findings were not published in full or in extract meaning that the investigation lacked public scrutiny.”</w:t>
      </w:r>
      <w:r w:rsidR="00D43748">
        <w:rPr>
          <w:b w:val="0"/>
        </w:rPr>
        <w:t xml:space="preserve"> </w:t>
      </w:r>
    </w:p>
    <w:p w:rsidR="002757C4" w:rsidRPr="00E86875" w:rsidRDefault="002757C4" w:rsidP="00014EFC">
      <w:pPr>
        <w:pStyle w:val="Title"/>
        <w:ind w:left="720"/>
        <w:jc w:val="both"/>
        <w:outlineLvl w:val="0"/>
        <w:rPr>
          <w:b w:val="0"/>
        </w:rPr>
      </w:pPr>
    </w:p>
    <w:p w:rsidR="00D43748" w:rsidRDefault="00D43748" w:rsidP="00014EFC">
      <w:pPr>
        <w:pStyle w:val="Title"/>
        <w:jc w:val="both"/>
        <w:outlineLvl w:val="0"/>
        <w:rPr>
          <w:b w:val="0"/>
        </w:rPr>
      </w:pPr>
      <w:r>
        <w:rPr>
          <w:b w:val="0"/>
        </w:rPr>
        <w:t>But the question is then whether Kenova itself involves a sufficient degree of public scrutiny in relation to the gravity of the allegations against agents of the State.</w:t>
      </w:r>
    </w:p>
    <w:p w:rsidR="00D43748" w:rsidRDefault="00D43748" w:rsidP="00014EFC">
      <w:pPr>
        <w:pStyle w:val="Title"/>
        <w:jc w:val="both"/>
        <w:outlineLvl w:val="0"/>
        <w:rPr>
          <w:b w:val="0"/>
        </w:rPr>
      </w:pPr>
    </w:p>
    <w:p w:rsidR="0057216A" w:rsidRDefault="00D43748" w:rsidP="00014EFC">
      <w:pPr>
        <w:pStyle w:val="Title"/>
        <w:jc w:val="both"/>
        <w:outlineLvl w:val="0"/>
        <w:rPr>
          <w:b w:val="0"/>
        </w:rPr>
      </w:pPr>
      <w:r>
        <w:rPr>
          <w:b w:val="0"/>
        </w:rPr>
        <w:t xml:space="preserve">Certainly, the </w:t>
      </w:r>
      <w:r w:rsidR="00C52325">
        <w:rPr>
          <w:b w:val="0"/>
        </w:rPr>
        <w:t>establishment</w:t>
      </w:r>
      <w:r>
        <w:rPr>
          <w:b w:val="0"/>
        </w:rPr>
        <w:t xml:space="preserve"> by Mr Boutcher of the Independent Steering Group (</w:t>
      </w:r>
      <w:r w:rsidR="002D4F88">
        <w:rPr>
          <w:b w:val="0"/>
        </w:rPr>
        <w:t>Review</w:t>
      </w:r>
      <w:r>
        <w:rPr>
          <w:b w:val="0"/>
        </w:rPr>
        <w:t>, para 18</w:t>
      </w:r>
      <w:r w:rsidR="00E80A50">
        <w:rPr>
          <w:b w:val="0"/>
        </w:rPr>
        <w:t xml:space="preserve"> ‘ISG’</w:t>
      </w:r>
      <w:r>
        <w:rPr>
          <w:b w:val="0"/>
        </w:rPr>
        <w:t xml:space="preserve">) the </w:t>
      </w:r>
      <w:r w:rsidR="00BA6C38">
        <w:rPr>
          <w:b w:val="0"/>
        </w:rPr>
        <w:t>Victims Focus Group (</w:t>
      </w:r>
      <w:r w:rsidR="002D4F88">
        <w:rPr>
          <w:b w:val="0"/>
        </w:rPr>
        <w:t>Review</w:t>
      </w:r>
      <w:r w:rsidR="00BA6C38">
        <w:rPr>
          <w:b w:val="0"/>
        </w:rPr>
        <w:t>, para 19</w:t>
      </w:r>
      <w:r w:rsidR="00E80A50">
        <w:rPr>
          <w:b w:val="0"/>
        </w:rPr>
        <w:t xml:space="preserve"> ‘VFG’</w:t>
      </w:r>
      <w:r w:rsidR="00BA6C38">
        <w:rPr>
          <w:b w:val="0"/>
        </w:rPr>
        <w:t xml:space="preserve">) </w:t>
      </w:r>
      <w:r w:rsidR="00C52325">
        <w:rPr>
          <w:b w:val="0"/>
        </w:rPr>
        <w:t>and the Governance Board</w:t>
      </w:r>
      <w:r w:rsidR="00E80A50">
        <w:rPr>
          <w:b w:val="0"/>
        </w:rPr>
        <w:t xml:space="preserve"> (‘GB’) </w:t>
      </w:r>
      <w:r w:rsidR="00C52325">
        <w:rPr>
          <w:rStyle w:val="FootnoteReference"/>
          <w:b w:val="0"/>
        </w:rPr>
        <w:footnoteReference w:id="12"/>
      </w:r>
      <w:r>
        <w:rPr>
          <w:b w:val="0"/>
        </w:rPr>
        <w:t xml:space="preserve"> </w:t>
      </w:r>
      <w:r w:rsidR="00BA6C38">
        <w:rPr>
          <w:b w:val="0"/>
        </w:rPr>
        <w:t xml:space="preserve">constitute an </w:t>
      </w:r>
      <w:r>
        <w:rPr>
          <w:b w:val="0"/>
        </w:rPr>
        <w:t xml:space="preserve">element of </w:t>
      </w:r>
      <w:r w:rsidR="006652B4">
        <w:rPr>
          <w:b w:val="0"/>
        </w:rPr>
        <w:t>outside involvement</w:t>
      </w:r>
      <w:r>
        <w:rPr>
          <w:b w:val="0"/>
        </w:rPr>
        <w:t xml:space="preserve"> in Kenova</w:t>
      </w:r>
      <w:r w:rsidR="00BA6C38">
        <w:rPr>
          <w:b w:val="0"/>
        </w:rPr>
        <w:t xml:space="preserve">. </w:t>
      </w:r>
    </w:p>
    <w:p w:rsidR="00E80A50" w:rsidRDefault="00E80A50" w:rsidP="00014EFC">
      <w:pPr>
        <w:pStyle w:val="Title"/>
        <w:jc w:val="both"/>
        <w:outlineLvl w:val="0"/>
        <w:rPr>
          <w:b w:val="0"/>
        </w:rPr>
      </w:pPr>
    </w:p>
    <w:p w:rsidR="00E80A50" w:rsidRDefault="00E80A50" w:rsidP="00014EFC">
      <w:pPr>
        <w:pStyle w:val="Title"/>
        <w:jc w:val="both"/>
        <w:outlineLvl w:val="0"/>
        <w:rPr>
          <w:b w:val="0"/>
        </w:rPr>
      </w:pPr>
      <w:r>
        <w:rPr>
          <w:b w:val="0"/>
        </w:rPr>
        <w:t xml:space="preserve">But we query the apparent </w:t>
      </w:r>
      <w:r>
        <w:rPr>
          <w:b w:val="0"/>
          <w:i/>
        </w:rPr>
        <w:t xml:space="preserve">ad hoc </w:t>
      </w:r>
      <w:r>
        <w:rPr>
          <w:b w:val="0"/>
        </w:rPr>
        <w:t>nature of the creation and operation of the ISG, VFG and GB. None of these bodies is set up under legislation or regulation</w:t>
      </w:r>
      <w:r w:rsidR="00C50A8F">
        <w:rPr>
          <w:b w:val="0"/>
        </w:rPr>
        <w:t xml:space="preserve">. It is not clear what </w:t>
      </w:r>
      <w:proofErr w:type="gramStart"/>
      <w:r w:rsidR="00C50A8F">
        <w:rPr>
          <w:b w:val="0"/>
        </w:rPr>
        <w:t>categories of information is</w:t>
      </w:r>
      <w:proofErr w:type="gramEnd"/>
      <w:r w:rsidR="00C50A8F">
        <w:rPr>
          <w:b w:val="0"/>
        </w:rPr>
        <w:t xml:space="preserve"> disclosed to them, or any of them and how any such information is protected against disclosure.</w:t>
      </w:r>
    </w:p>
    <w:p w:rsidR="00C50A8F" w:rsidRDefault="00C50A8F" w:rsidP="00014EFC">
      <w:pPr>
        <w:pStyle w:val="Title"/>
        <w:jc w:val="both"/>
        <w:outlineLvl w:val="0"/>
        <w:rPr>
          <w:b w:val="0"/>
        </w:rPr>
      </w:pPr>
    </w:p>
    <w:p w:rsidR="00C50A8F" w:rsidRPr="008905EC" w:rsidRDefault="00C50A8F" w:rsidP="00014EFC">
      <w:pPr>
        <w:pStyle w:val="Title"/>
        <w:jc w:val="both"/>
        <w:outlineLvl w:val="0"/>
        <w:rPr>
          <w:b w:val="0"/>
        </w:rPr>
      </w:pPr>
      <w:r>
        <w:rPr>
          <w:b w:val="0"/>
        </w:rPr>
        <w:t xml:space="preserve">In sum, the Court in </w:t>
      </w:r>
      <w:r>
        <w:rPr>
          <w:b w:val="0"/>
          <w:i/>
        </w:rPr>
        <w:t xml:space="preserve">McKerr v </w:t>
      </w:r>
      <w:r w:rsidR="008905EC">
        <w:rPr>
          <w:b w:val="0"/>
          <w:i/>
        </w:rPr>
        <w:t xml:space="preserve">UK </w:t>
      </w:r>
      <w:r w:rsidR="008905EC">
        <w:rPr>
          <w:b w:val="0"/>
        </w:rPr>
        <w:t>(</w:t>
      </w:r>
      <w:r>
        <w:rPr>
          <w:b w:val="0"/>
        </w:rPr>
        <w:t>cited above) referred to the obligations under Article 2 of ‘the relevant domestic authorities’. It simply appears to us that the ISG, the VFG and the GB</w:t>
      </w:r>
      <w:r w:rsidR="008905EC">
        <w:rPr>
          <w:b w:val="0"/>
        </w:rPr>
        <w:t>,</w:t>
      </w:r>
      <w:r w:rsidR="00C70979">
        <w:rPr>
          <w:b w:val="0"/>
        </w:rPr>
        <w:t xml:space="preserve"> as collections of lay people, </w:t>
      </w:r>
      <w:r>
        <w:rPr>
          <w:b w:val="0"/>
        </w:rPr>
        <w:t>cannot be termed as ‘relevant domestic authorities’ for the purpose of performance of Article 2 requirements.</w:t>
      </w:r>
    </w:p>
    <w:p w:rsidR="0057216A" w:rsidRDefault="0057216A" w:rsidP="00014EFC">
      <w:pPr>
        <w:pStyle w:val="Title"/>
        <w:jc w:val="both"/>
        <w:outlineLvl w:val="0"/>
        <w:rPr>
          <w:b w:val="0"/>
        </w:rPr>
      </w:pPr>
    </w:p>
    <w:p w:rsidR="00D43748" w:rsidRDefault="00C70979" w:rsidP="00014EFC">
      <w:pPr>
        <w:pStyle w:val="Title"/>
        <w:jc w:val="both"/>
        <w:outlineLvl w:val="0"/>
        <w:rPr>
          <w:b w:val="0"/>
        </w:rPr>
      </w:pPr>
      <w:r>
        <w:rPr>
          <w:b w:val="0"/>
        </w:rPr>
        <w:t>Furthermore,</w:t>
      </w:r>
      <w:r w:rsidR="00BA6C38">
        <w:rPr>
          <w:b w:val="0"/>
        </w:rPr>
        <w:t xml:space="preserve"> </w:t>
      </w:r>
      <w:r w:rsidR="0057216A">
        <w:rPr>
          <w:b w:val="0"/>
        </w:rPr>
        <w:t xml:space="preserve">there is lack of transparency. All the appointments have apparently been made by Mr Boutcher without any public application process and </w:t>
      </w:r>
      <w:r w:rsidR="00BA6C38">
        <w:rPr>
          <w:b w:val="0"/>
        </w:rPr>
        <w:t>the deliberations of the</w:t>
      </w:r>
      <w:r>
        <w:rPr>
          <w:b w:val="0"/>
        </w:rPr>
        <w:t xml:space="preserve"> ISG, the VFG and the GB</w:t>
      </w:r>
      <w:r w:rsidR="00BA6C38">
        <w:rPr>
          <w:b w:val="0"/>
        </w:rPr>
        <w:t xml:space="preserve"> are not published on the Kenova website. </w:t>
      </w:r>
    </w:p>
    <w:p w:rsidR="00A928FF" w:rsidRDefault="00A928FF" w:rsidP="00014EFC">
      <w:pPr>
        <w:pStyle w:val="Title"/>
        <w:jc w:val="both"/>
        <w:outlineLvl w:val="0"/>
        <w:rPr>
          <w:b w:val="0"/>
        </w:rPr>
      </w:pPr>
    </w:p>
    <w:p w:rsidR="00A928FF" w:rsidRDefault="00A928FF" w:rsidP="00014EFC">
      <w:pPr>
        <w:pStyle w:val="Title"/>
        <w:jc w:val="both"/>
        <w:outlineLvl w:val="0"/>
        <w:rPr>
          <w:b w:val="0"/>
        </w:rPr>
      </w:pPr>
      <w:r>
        <w:rPr>
          <w:b w:val="0"/>
        </w:rPr>
        <w:t xml:space="preserve">It seems to us that there is a fundamental distinction between enabling scrutiny on the one hand by the public at large and on the other hand by a group or groups, however created. This </w:t>
      </w:r>
      <w:r w:rsidR="00130FC5">
        <w:rPr>
          <w:b w:val="0"/>
        </w:rPr>
        <w:t xml:space="preserve">is </w:t>
      </w:r>
      <w:r>
        <w:rPr>
          <w:b w:val="0"/>
        </w:rPr>
        <w:t xml:space="preserve">implicit from para 15 of the </w:t>
      </w:r>
      <w:r w:rsidR="008569AE">
        <w:rPr>
          <w:b w:val="0"/>
        </w:rPr>
        <w:t>Review</w:t>
      </w:r>
      <w:r>
        <w:rPr>
          <w:b w:val="0"/>
        </w:rPr>
        <w:t>. It follows that Kenova’s self-appointed structures fall short of what is required.</w:t>
      </w:r>
    </w:p>
    <w:p w:rsidR="00343598" w:rsidRDefault="00343598" w:rsidP="00014EFC">
      <w:pPr>
        <w:pStyle w:val="Title"/>
        <w:jc w:val="both"/>
        <w:outlineLvl w:val="0"/>
        <w:rPr>
          <w:b w:val="0"/>
        </w:rPr>
      </w:pPr>
    </w:p>
    <w:p w:rsidR="00343598" w:rsidRDefault="00343598" w:rsidP="00014EFC">
      <w:pPr>
        <w:pStyle w:val="Title"/>
        <w:jc w:val="both"/>
        <w:outlineLvl w:val="0"/>
        <w:rPr>
          <w:b w:val="0"/>
        </w:rPr>
      </w:pPr>
    </w:p>
    <w:p w:rsidR="00343598" w:rsidRDefault="00343598" w:rsidP="00014EFC">
      <w:pPr>
        <w:pStyle w:val="Title"/>
        <w:jc w:val="both"/>
        <w:outlineLvl w:val="0"/>
        <w:rPr>
          <w:b w:val="0"/>
        </w:rPr>
      </w:pPr>
    </w:p>
    <w:p w:rsidR="00343598" w:rsidRDefault="00343598" w:rsidP="00014EFC">
      <w:pPr>
        <w:pStyle w:val="Title"/>
        <w:jc w:val="both"/>
        <w:outlineLvl w:val="0"/>
        <w:rPr>
          <w:b w:val="0"/>
        </w:rPr>
      </w:pPr>
    </w:p>
    <w:p w:rsidR="00343598" w:rsidRDefault="00343598" w:rsidP="00014EFC">
      <w:pPr>
        <w:pStyle w:val="Title"/>
        <w:jc w:val="both"/>
        <w:outlineLvl w:val="0"/>
        <w:rPr>
          <w:b w:val="0"/>
        </w:rPr>
      </w:pPr>
    </w:p>
    <w:p w:rsidR="00075989" w:rsidRDefault="00075989" w:rsidP="00014EFC">
      <w:pPr>
        <w:pStyle w:val="Title"/>
        <w:jc w:val="both"/>
        <w:outlineLvl w:val="0"/>
        <w:rPr>
          <w:b w:val="0"/>
        </w:rPr>
      </w:pPr>
    </w:p>
    <w:p w:rsidR="00075989" w:rsidRDefault="00075989" w:rsidP="00014EFC">
      <w:pPr>
        <w:pStyle w:val="Title"/>
        <w:jc w:val="both"/>
        <w:outlineLvl w:val="0"/>
        <w:rPr>
          <w:b w:val="0"/>
        </w:rPr>
      </w:pPr>
    </w:p>
    <w:p w:rsidR="00075989" w:rsidRDefault="00075989" w:rsidP="00014EFC">
      <w:pPr>
        <w:pStyle w:val="Title"/>
        <w:jc w:val="both"/>
        <w:outlineLvl w:val="0"/>
        <w:rPr>
          <w:b w:val="0"/>
        </w:rPr>
      </w:pPr>
    </w:p>
    <w:p w:rsidR="00075989" w:rsidRDefault="00075989" w:rsidP="00014EFC">
      <w:pPr>
        <w:pStyle w:val="Title"/>
        <w:jc w:val="both"/>
        <w:outlineLvl w:val="0"/>
        <w:rPr>
          <w:b w:val="0"/>
        </w:rPr>
      </w:pPr>
    </w:p>
    <w:p w:rsidR="00BA6C38" w:rsidRPr="00D43748" w:rsidRDefault="00BA6C38" w:rsidP="00014EFC">
      <w:pPr>
        <w:pStyle w:val="Title"/>
        <w:jc w:val="both"/>
        <w:outlineLvl w:val="0"/>
        <w:rPr>
          <w:b w:val="0"/>
        </w:rPr>
      </w:pPr>
    </w:p>
    <w:p w:rsidR="00AD38EE" w:rsidRDefault="00AD38EE" w:rsidP="00343598">
      <w:pPr>
        <w:pStyle w:val="Title"/>
        <w:numPr>
          <w:ilvl w:val="0"/>
          <w:numId w:val="7"/>
        </w:numPr>
        <w:jc w:val="both"/>
        <w:outlineLvl w:val="0"/>
      </w:pPr>
      <w:r>
        <w:lastRenderedPageBreak/>
        <w:t>Compellability of witnesses</w:t>
      </w:r>
    </w:p>
    <w:p w:rsidR="00D24FAB" w:rsidRDefault="00D24FAB" w:rsidP="00014EFC">
      <w:pPr>
        <w:pStyle w:val="Title"/>
        <w:jc w:val="both"/>
        <w:outlineLvl w:val="0"/>
      </w:pPr>
    </w:p>
    <w:p w:rsidR="00D24FAB" w:rsidRPr="00D761DB" w:rsidRDefault="00D761DB" w:rsidP="00014EFC">
      <w:pPr>
        <w:pStyle w:val="Title"/>
        <w:jc w:val="both"/>
        <w:outlineLvl w:val="0"/>
        <w:rPr>
          <w:b w:val="0"/>
        </w:rPr>
      </w:pPr>
      <w:r>
        <w:rPr>
          <w:b w:val="0"/>
        </w:rPr>
        <w:t xml:space="preserve">The Supreme Court has held that the </w:t>
      </w:r>
      <w:r w:rsidR="00014EFC">
        <w:rPr>
          <w:b w:val="0"/>
        </w:rPr>
        <w:t>d</w:t>
      </w:r>
      <w:r>
        <w:rPr>
          <w:b w:val="0"/>
        </w:rPr>
        <w:t>e Silva enquiry into the murder of Pat Finucane was not fully compliant with Article 2 as there was no power to compel witnesses</w:t>
      </w:r>
      <w:r w:rsidR="009448B6">
        <w:rPr>
          <w:b w:val="0"/>
        </w:rPr>
        <w:t>.</w:t>
      </w:r>
      <w:r>
        <w:rPr>
          <w:rStyle w:val="FootnoteReference"/>
          <w:b w:val="0"/>
        </w:rPr>
        <w:footnoteReference w:id="13"/>
      </w:r>
    </w:p>
    <w:p w:rsidR="00782E64" w:rsidRDefault="00782E64" w:rsidP="00014EFC">
      <w:pPr>
        <w:pStyle w:val="Title"/>
        <w:jc w:val="both"/>
        <w:outlineLvl w:val="0"/>
        <w:rPr>
          <w:i/>
        </w:rPr>
      </w:pPr>
    </w:p>
    <w:p w:rsidR="00F474EF" w:rsidRDefault="0003271D" w:rsidP="00014EFC">
      <w:pPr>
        <w:pStyle w:val="Title"/>
        <w:jc w:val="both"/>
        <w:outlineLvl w:val="0"/>
        <w:rPr>
          <w:b w:val="0"/>
        </w:rPr>
      </w:pPr>
      <w:r w:rsidRPr="00CC1821">
        <w:rPr>
          <w:b w:val="0"/>
          <w:i/>
        </w:rPr>
        <w:t xml:space="preserve">Finucane </w:t>
      </w:r>
      <w:r w:rsidRPr="00CC1821">
        <w:rPr>
          <w:b w:val="0"/>
        </w:rPr>
        <w:t xml:space="preserve">was the case of an independent enquiry carried out by Sir </w:t>
      </w:r>
      <w:r w:rsidR="00CA3B8C" w:rsidRPr="00CC1821">
        <w:rPr>
          <w:b w:val="0"/>
        </w:rPr>
        <w:t xml:space="preserve">Desmond </w:t>
      </w:r>
      <w:r w:rsidR="009448B6">
        <w:rPr>
          <w:b w:val="0"/>
        </w:rPr>
        <w:t xml:space="preserve">de </w:t>
      </w:r>
      <w:r w:rsidR="00CA3B8C" w:rsidRPr="00CC1821">
        <w:rPr>
          <w:b w:val="0"/>
        </w:rPr>
        <w:t>Silva</w:t>
      </w:r>
      <w:r w:rsidRPr="00CC1821">
        <w:rPr>
          <w:b w:val="0"/>
        </w:rPr>
        <w:t xml:space="preserve"> QC - a senior legal figure. Lord Kerr identified the lack of compellability as leading to Sir Desmond being unable to be conclusive as to the opportunity to identify individuals responsible for, or in any way complicit, in the murder. </w:t>
      </w:r>
    </w:p>
    <w:p w:rsidR="00A15FE6" w:rsidRDefault="00A15FE6" w:rsidP="00014EFC">
      <w:pPr>
        <w:pStyle w:val="Title"/>
        <w:jc w:val="both"/>
        <w:outlineLvl w:val="0"/>
        <w:rPr>
          <w:b w:val="0"/>
        </w:rPr>
      </w:pPr>
    </w:p>
    <w:p w:rsidR="00311735" w:rsidRPr="009448B6" w:rsidRDefault="00A15FE6" w:rsidP="00014EFC">
      <w:pPr>
        <w:pStyle w:val="Title"/>
        <w:jc w:val="both"/>
        <w:outlineLvl w:val="0"/>
        <w:rPr>
          <w:b w:val="0"/>
        </w:rPr>
      </w:pPr>
      <w:r>
        <w:rPr>
          <w:b w:val="0"/>
        </w:rPr>
        <w:t>However, an enquiry of the form carried out by Sir Desmond seems to us to be quite different from a crimi</w:t>
      </w:r>
      <w:r w:rsidR="00FB660C">
        <w:rPr>
          <w:b w:val="0"/>
        </w:rPr>
        <w:t>na</w:t>
      </w:r>
      <w:r>
        <w:rPr>
          <w:b w:val="0"/>
        </w:rPr>
        <w:t>l investigation carried out by a police officer (such as Mr Boutcher) appointed by the Chief Constable to investigate a series of serious acts of terrorism including allegations of criminality on the part of police officers</w:t>
      </w:r>
      <w:r w:rsidR="008E532A">
        <w:rPr>
          <w:b w:val="0"/>
        </w:rPr>
        <w:t>.</w:t>
      </w:r>
    </w:p>
    <w:sectPr w:rsidR="00311735" w:rsidRPr="009448B6">
      <w:headerReference w:type="default" r:id="rId9"/>
      <w:footerReference w:type="default" r:id="rId10"/>
      <w:pgSz w:w="11906" w:h="16838"/>
      <w:pgMar w:top="1361" w:right="1985"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F1" w:rsidRDefault="00B303F1" w:rsidP="00B822C3">
      <w:r>
        <w:separator/>
      </w:r>
    </w:p>
  </w:endnote>
  <w:endnote w:type="continuationSeparator" w:id="0">
    <w:p w:rsidR="00B303F1" w:rsidRDefault="00B303F1" w:rsidP="00B8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75" w:rsidRDefault="00E86875">
    <w:pPr>
      <w:pStyle w:val="Footer"/>
      <w:jc w:val="center"/>
    </w:pPr>
    <w:r>
      <w:fldChar w:fldCharType="begin"/>
    </w:r>
    <w:r>
      <w:instrText xml:space="preserve"> PAGE   \* MERGEFORMAT </w:instrText>
    </w:r>
    <w:r>
      <w:fldChar w:fldCharType="separate"/>
    </w:r>
    <w:r w:rsidR="006451EC">
      <w:rPr>
        <w:noProof/>
      </w:rPr>
      <w:t>4</w:t>
    </w:r>
    <w:r>
      <w:rPr>
        <w:noProof/>
      </w:rPr>
      <w:fldChar w:fldCharType="end"/>
    </w:r>
  </w:p>
  <w:p w:rsidR="00E86875" w:rsidRDefault="00E86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F1" w:rsidRDefault="00B303F1" w:rsidP="00B822C3">
      <w:r>
        <w:separator/>
      </w:r>
    </w:p>
  </w:footnote>
  <w:footnote w:type="continuationSeparator" w:id="0">
    <w:p w:rsidR="00B303F1" w:rsidRDefault="00B303F1" w:rsidP="00B822C3">
      <w:r>
        <w:continuationSeparator/>
      </w:r>
    </w:p>
  </w:footnote>
  <w:footnote w:id="1">
    <w:p w:rsidR="002946C8" w:rsidRPr="006B4A35" w:rsidRDefault="002946C8" w:rsidP="00C73632">
      <w:pPr>
        <w:pStyle w:val="FootnoteText"/>
        <w:jc w:val="both"/>
        <w:rPr>
          <w:b w:val="0"/>
        </w:rPr>
      </w:pPr>
      <w:r w:rsidRPr="006B4A35">
        <w:rPr>
          <w:rStyle w:val="FootnoteReference"/>
          <w:b w:val="0"/>
        </w:rPr>
        <w:footnoteRef/>
      </w:r>
      <w:r w:rsidRPr="006B4A35">
        <w:rPr>
          <w:b w:val="0"/>
        </w:rPr>
        <w:t xml:space="preserve"> </w:t>
      </w:r>
      <w:hyperlink r:id="rId1" w:history="1">
        <w:r w:rsidRPr="006B4A35">
          <w:rPr>
            <w:rStyle w:val="Hyperlink"/>
            <w:b w:val="0"/>
          </w:rPr>
          <w:t>www.kenova.co.uk</w:t>
        </w:r>
      </w:hyperlink>
      <w:r w:rsidR="00796F55">
        <w:rPr>
          <w:b w:val="0"/>
        </w:rPr>
        <w:t xml:space="preserve"> </w:t>
      </w:r>
      <w:r w:rsidRPr="006B4A35">
        <w:rPr>
          <w:b w:val="0"/>
        </w:rPr>
        <w:t xml:space="preserve">‘Role of the Police Service of Northern Ireland’ section – </w:t>
      </w:r>
      <w:r w:rsidR="00796F55">
        <w:rPr>
          <w:b w:val="0"/>
        </w:rPr>
        <w:t xml:space="preserve"> </w:t>
      </w:r>
      <w:r w:rsidRPr="006B4A35">
        <w:rPr>
          <w:b w:val="0"/>
        </w:rPr>
        <w:t>accessed 22 February 202</w:t>
      </w:r>
      <w:r w:rsidR="00796F55">
        <w:rPr>
          <w:b w:val="0"/>
        </w:rPr>
        <w:t>1</w:t>
      </w:r>
    </w:p>
  </w:footnote>
  <w:footnote w:id="2">
    <w:p w:rsidR="00572BCC" w:rsidRPr="00001383" w:rsidRDefault="00572BCC" w:rsidP="00C73632">
      <w:pPr>
        <w:pStyle w:val="FootnoteText"/>
        <w:jc w:val="both"/>
        <w:rPr>
          <w:b w:val="0"/>
        </w:rPr>
      </w:pPr>
      <w:r>
        <w:rPr>
          <w:rStyle w:val="FootnoteReference"/>
        </w:rPr>
        <w:footnoteRef/>
      </w:r>
      <w:r>
        <w:t xml:space="preserve"> </w:t>
      </w:r>
      <w:r w:rsidR="00001383" w:rsidRPr="00001383">
        <w:rPr>
          <w:b w:val="0"/>
        </w:rPr>
        <w:t xml:space="preserve">See Mr Boutcher’s evidence to </w:t>
      </w:r>
      <w:r w:rsidR="00935EA9">
        <w:rPr>
          <w:b w:val="0"/>
        </w:rPr>
        <w:t>NIAC</w:t>
      </w:r>
      <w:r w:rsidR="00001383" w:rsidRPr="00001383">
        <w:rPr>
          <w:b w:val="0"/>
        </w:rPr>
        <w:t xml:space="preserve"> on 2 September 2020 – answers to </w:t>
      </w:r>
      <w:r w:rsidR="00D12C7B">
        <w:rPr>
          <w:b w:val="0"/>
        </w:rPr>
        <w:t xml:space="preserve">Q243, </w:t>
      </w:r>
      <w:r w:rsidR="00001383" w:rsidRPr="00001383">
        <w:rPr>
          <w:b w:val="0"/>
        </w:rPr>
        <w:t>Q 245 &amp; Q269</w:t>
      </w:r>
    </w:p>
  </w:footnote>
  <w:footnote w:id="3">
    <w:p w:rsidR="009E7A92" w:rsidRPr="009E7A92" w:rsidRDefault="009E7A92" w:rsidP="00C73632">
      <w:pPr>
        <w:pStyle w:val="FootnoteText"/>
        <w:jc w:val="both"/>
        <w:rPr>
          <w:b w:val="0"/>
        </w:rPr>
      </w:pPr>
      <w:r>
        <w:rPr>
          <w:rStyle w:val="FootnoteReference"/>
        </w:rPr>
        <w:footnoteRef/>
      </w:r>
      <w:r>
        <w:rPr>
          <w:b w:val="0"/>
        </w:rPr>
        <w:t>That is, in addition to the primary statutory duty to report to the Director of Public Prosecutions, as set out in section 1, above</w:t>
      </w:r>
    </w:p>
  </w:footnote>
  <w:footnote w:id="4">
    <w:p w:rsidR="005D460E" w:rsidRPr="00CC1821" w:rsidRDefault="005D460E" w:rsidP="00C73632">
      <w:pPr>
        <w:pStyle w:val="FootnoteText"/>
        <w:jc w:val="both"/>
        <w:rPr>
          <w:b w:val="0"/>
        </w:rPr>
      </w:pPr>
      <w:r>
        <w:rPr>
          <w:rStyle w:val="FootnoteReference"/>
        </w:rPr>
        <w:footnoteRef/>
      </w:r>
      <w:r>
        <w:t xml:space="preserve"> </w:t>
      </w:r>
      <w:r w:rsidRPr="00CC1821">
        <w:rPr>
          <w:b w:val="0"/>
        </w:rPr>
        <w:t xml:space="preserve">See paras 3.7 &amp; 3.12 (final bullet) of Mr Boutcher’s </w:t>
      </w:r>
      <w:r w:rsidR="002F31D1">
        <w:rPr>
          <w:b w:val="0"/>
        </w:rPr>
        <w:t>w</w:t>
      </w:r>
      <w:r w:rsidRPr="00CC1821">
        <w:rPr>
          <w:b w:val="0"/>
        </w:rPr>
        <w:t xml:space="preserve">ritten </w:t>
      </w:r>
      <w:r w:rsidR="002F31D1">
        <w:rPr>
          <w:b w:val="0"/>
        </w:rPr>
        <w:t>e</w:t>
      </w:r>
      <w:r w:rsidRPr="00CC1821">
        <w:rPr>
          <w:b w:val="0"/>
        </w:rPr>
        <w:t>vidence to NIAC (LEG0041)</w:t>
      </w:r>
    </w:p>
  </w:footnote>
  <w:footnote w:id="5">
    <w:p w:rsidR="005D460E" w:rsidRPr="00CC1821" w:rsidRDefault="005D460E" w:rsidP="00C73632">
      <w:pPr>
        <w:pStyle w:val="FootnoteText"/>
        <w:jc w:val="both"/>
        <w:rPr>
          <w:b w:val="0"/>
        </w:rPr>
      </w:pPr>
      <w:r w:rsidRPr="00CC1821">
        <w:rPr>
          <w:rStyle w:val="FootnoteReference"/>
          <w:b w:val="0"/>
        </w:rPr>
        <w:footnoteRef/>
      </w:r>
      <w:r w:rsidRPr="00CC1821">
        <w:rPr>
          <w:b w:val="0"/>
        </w:rPr>
        <w:t>ibid - see para</w:t>
      </w:r>
      <w:r>
        <w:rPr>
          <w:b w:val="0"/>
        </w:rPr>
        <w:t>s</w:t>
      </w:r>
      <w:r w:rsidRPr="00CC1821">
        <w:rPr>
          <w:b w:val="0"/>
        </w:rPr>
        <w:t xml:space="preserve"> 4.6</w:t>
      </w:r>
      <w:r>
        <w:rPr>
          <w:b w:val="0"/>
        </w:rPr>
        <w:t xml:space="preserve"> &amp; 6.1</w:t>
      </w:r>
    </w:p>
  </w:footnote>
  <w:footnote w:id="6">
    <w:p w:rsidR="00824743" w:rsidRPr="00824743" w:rsidRDefault="00824743" w:rsidP="00C73632">
      <w:pPr>
        <w:pStyle w:val="FootnoteText"/>
        <w:jc w:val="both"/>
        <w:rPr>
          <w:b w:val="0"/>
        </w:rPr>
      </w:pPr>
      <w:r>
        <w:rPr>
          <w:rStyle w:val="FootnoteReference"/>
        </w:rPr>
        <w:footnoteRef/>
      </w:r>
      <w:r>
        <w:t xml:space="preserve"> </w:t>
      </w:r>
      <w:r w:rsidRPr="00824743">
        <w:rPr>
          <w:b w:val="0"/>
          <w:i/>
        </w:rPr>
        <w:t>Hawthorne &amp; Whites’ Application</w:t>
      </w:r>
      <w:r w:rsidRPr="00824743">
        <w:rPr>
          <w:b w:val="0"/>
        </w:rPr>
        <w:t xml:space="preserve"> [2018] NICA 33</w:t>
      </w:r>
    </w:p>
  </w:footnote>
  <w:footnote w:id="7">
    <w:p w:rsidR="00824743" w:rsidRPr="00824743" w:rsidRDefault="00824743" w:rsidP="00C73632">
      <w:pPr>
        <w:pStyle w:val="FootnoteText"/>
        <w:jc w:val="both"/>
        <w:rPr>
          <w:b w:val="0"/>
        </w:rPr>
      </w:pPr>
      <w:r>
        <w:rPr>
          <w:rStyle w:val="FootnoteReference"/>
        </w:rPr>
        <w:footnoteRef/>
      </w:r>
      <w:r>
        <w:t xml:space="preserve"> </w:t>
      </w:r>
      <w:r w:rsidRPr="00824743">
        <w:rPr>
          <w:b w:val="0"/>
        </w:rPr>
        <w:t>See paras 43, 54 &amp; 55</w:t>
      </w:r>
    </w:p>
  </w:footnote>
  <w:footnote w:id="8">
    <w:p w:rsidR="00386E76" w:rsidRPr="006B4A35" w:rsidRDefault="00386E76" w:rsidP="00C73632">
      <w:pPr>
        <w:pStyle w:val="FootnoteText"/>
        <w:jc w:val="both"/>
        <w:rPr>
          <w:b w:val="0"/>
        </w:rPr>
      </w:pPr>
      <w:r w:rsidRPr="006B4A35">
        <w:rPr>
          <w:rStyle w:val="FootnoteReference"/>
          <w:b w:val="0"/>
        </w:rPr>
        <w:footnoteRef/>
      </w:r>
      <w:r w:rsidRPr="006B4A35">
        <w:rPr>
          <w:b w:val="0"/>
        </w:rPr>
        <w:t xml:space="preserve"> </w:t>
      </w:r>
      <w:r w:rsidR="00E9255D" w:rsidRPr="006B4A35">
        <w:rPr>
          <w:b w:val="0"/>
        </w:rPr>
        <w:t>N</w:t>
      </w:r>
      <w:r w:rsidR="00935EA9">
        <w:rPr>
          <w:b w:val="0"/>
        </w:rPr>
        <w:t>IAC</w:t>
      </w:r>
      <w:r w:rsidR="00E9255D" w:rsidRPr="006B4A35">
        <w:rPr>
          <w:b w:val="0"/>
        </w:rPr>
        <w:t xml:space="preserve"> </w:t>
      </w:r>
      <w:r w:rsidR="00E9255D" w:rsidRPr="006B4A35">
        <w:rPr>
          <w:b w:val="0"/>
          <w:i/>
        </w:rPr>
        <w:t xml:space="preserve">Addressing the Legacy of Northern Ireland’s Past: The UK Government’s New Proposals </w:t>
      </w:r>
      <w:r w:rsidR="00E9255D" w:rsidRPr="006B4A35">
        <w:rPr>
          <w:b w:val="0"/>
        </w:rPr>
        <w:t>HC 329 Oral Evidence Q243</w:t>
      </w:r>
      <w:r w:rsidR="00D12C7B">
        <w:rPr>
          <w:b w:val="0"/>
        </w:rPr>
        <w:t xml:space="preserve"> – see also, in answer to Q245</w:t>
      </w:r>
      <w:r w:rsidR="002577BB">
        <w:rPr>
          <w:b w:val="0"/>
        </w:rPr>
        <w:t xml:space="preserve">, his observations </w:t>
      </w:r>
      <w:r w:rsidR="00D12C7B">
        <w:rPr>
          <w:b w:val="0"/>
        </w:rPr>
        <w:t>on the difficulties of legacy prosecutions in Northern Ireland</w:t>
      </w:r>
    </w:p>
  </w:footnote>
  <w:footnote w:id="9">
    <w:p w:rsidR="00E9255D" w:rsidRPr="006B4A35" w:rsidRDefault="00E9255D" w:rsidP="00C73632">
      <w:pPr>
        <w:pStyle w:val="FootnoteText"/>
        <w:jc w:val="both"/>
        <w:rPr>
          <w:b w:val="0"/>
        </w:rPr>
      </w:pPr>
      <w:r w:rsidRPr="006B4A35">
        <w:rPr>
          <w:rStyle w:val="FootnoteReference"/>
          <w:b w:val="0"/>
        </w:rPr>
        <w:footnoteRef/>
      </w:r>
      <w:r w:rsidRPr="006B4A35">
        <w:rPr>
          <w:b w:val="0"/>
        </w:rPr>
        <w:t xml:space="preserve"> </w:t>
      </w:r>
      <w:r w:rsidRPr="006B4A35">
        <w:rPr>
          <w:b w:val="0"/>
          <w:i/>
        </w:rPr>
        <w:t>ibid Q</w:t>
      </w:r>
      <w:r w:rsidRPr="006B4A35">
        <w:rPr>
          <w:b w:val="0"/>
        </w:rPr>
        <w:t>269</w:t>
      </w:r>
    </w:p>
  </w:footnote>
  <w:footnote w:id="10">
    <w:p w:rsidR="00824743" w:rsidRPr="00824743" w:rsidRDefault="00824743" w:rsidP="00C73632">
      <w:pPr>
        <w:pStyle w:val="FootnoteText"/>
        <w:jc w:val="both"/>
        <w:rPr>
          <w:b w:val="0"/>
        </w:rPr>
      </w:pPr>
      <w:r w:rsidRPr="00824743">
        <w:rPr>
          <w:rStyle w:val="FootnoteReference"/>
          <w:b w:val="0"/>
        </w:rPr>
        <w:footnoteRef/>
      </w:r>
      <w:r w:rsidRPr="00824743">
        <w:rPr>
          <w:b w:val="0"/>
        </w:rPr>
        <w:t xml:space="preserve"> [2018] NIQB 35 – section 2 of the Judgment ‘The Second Ground: Procedural Unfairness’ paras 104 to 115</w:t>
      </w:r>
    </w:p>
  </w:footnote>
  <w:footnote w:id="11">
    <w:p w:rsidR="00AD6DB5" w:rsidRDefault="00AD6DB5" w:rsidP="00C73632">
      <w:pPr>
        <w:pStyle w:val="FootnoteText"/>
        <w:jc w:val="both"/>
      </w:pPr>
      <w:r>
        <w:rPr>
          <w:rStyle w:val="FootnoteReference"/>
        </w:rPr>
        <w:footnoteRef/>
      </w:r>
      <w:r>
        <w:t xml:space="preserve"> </w:t>
      </w:r>
      <w:r w:rsidRPr="00AD6DB5">
        <w:rPr>
          <w:b w:val="0"/>
        </w:rPr>
        <w:t>para 53</w:t>
      </w:r>
    </w:p>
  </w:footnote>
  <w:footnote w:id="12">
    <w:p w:rsidR="00C52325" w:rsidRPr="00C52325" w:rsidRDefault="00C52325" w:rsidP="00C73632">
      <w:pPr>
        <w:pStyle w:val="FootnoteText"/>
        <w:jc w:val="both"/>
        <w:rPr>
          <w:b w:val="0"/>
        </w:rPr>
      </w:pPr>
      <w:r>
        <w:rPr>
          <w:rStyle w:val="FootnoteReference"/>
        </w:rPr>
        <w:footnoteRef/>
      </w:r>
      <w:r w:rsidR="009448B6">
        <w:t xml:space="preserve"> </w:t>
      </w:r>
      <w:r w:rsidRPr="00C52325">
        <w:rPr>
          <w:b w:val="0"/>
        </w:rPr>
        <w:t xml:space="preserve">Not referred to in the </w:t>
      </w:r>
      <w:r w:rsidR="00A43194">
        <w:rPr>
          <w:b w:val="0"/>
        </w:rPr>
        <w:t>Review</w:t>
      </w:r>
      <w:r w:rsidRPr="00C52325">
        <w:rPr>
          <w:b w:val="0"/>
        </w:rPr>
        <w:t xml:space="preserve"> but see Mr Boutcher’s written evidence to </w:t>
      </w:r>
      <w:r w:rsidR="00935EA9">
        <w:rPr>
          <w:b w:val="0"/>
        </w:rPr>
        <w:t>NIAC</w:t>
      </w:r>
      <w:r w:rsidRPr="00C52325">
        <w:rPr>
          <w:b w:val="0"/>
        </w:rPr>
        <w:t xml:space="preserve"> para 3.7</w:t>
      </w:r>
      <w:r>
        <w:rPr>
          <w:b w:val="0"/>
        </w:rPr>
        <w:t xml:space="preserve"> (ref LEG0041)</w:t>
      </w:r>
    </w:p>
  </w:footnote>
  <w:footnote w:id="13">
    <w:p w:rsidR="00D761DB" w:rsidRDefault="00D761DB" w:rsidP="00C73632">
      <w:pPr>
        <w:pStyle w:val="FootnoteText"/>
        <w:jc w:val="both"/>
      </w:pPr>
      <w:r>
        <w:rPr>
          <w:rStyle w:val="FootnoteReference"/>
        </w:rPr>
        <w:footnoteRef/>
      </w:r>
      <w:r>
        <w:t xml:space="preserve"> </w:t>
      </w:r>
      <w:r w:rsidRPr="00D761DB">
        <w:rPr>
          <w:b w:val="0"/>
          <w:i/>
        </w:rPr>
        <w:t>Finucane, Re application for judicial review</w:t>
      </w:r>
      <w:r>
        <w:t xml:space="preserve"> </w:t>
      </w:r>
      <w:r w:rsidRPr="00D761DB">
        <w:rPr>
          <w:b w:val="0"/>
        </w:rPr>
        <w:t>[2019] UKSC 7 at para 140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875" w:rsidRDefault="00E86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4DBF"/>
    <w:multiLevelType w:val="hybridMultilevel"/>
    <w:tmpl w:val="2F3A3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A5587D"/>
    <w:multiLevelType w:val="hybridMultilevel"/>
    <w:tmpl w:val="86C4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4A181D"/>
    <w:multiLevelType w:val="hybridMultilevel"/>
    <w:tmpl w:val="75AE0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57193D"/>
    <w:multiLevelType w:val="hybridMultilevel"/>
    <w:tmpl w:val="468CD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7C2F75"/>
    <w:multiLevelType w:val="hybridMultilevel"/>
    <w:tmpl w:val="D540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086267"/>
    <w:multiLevelType w:val="hybridMultilevel"/>
    <w:tmpl w:val="A27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8E5FB9"/>
    <w:multiLevelType w:val="hybridMultilevel"/>
    <w:tmpl w:val="4E360712"/>
    <w:lvl w:ilvl="0" w:tplc="0A129BB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A6C500E"/>
    <w:multiLevelType w:val="hybridMultilevel"/>
    <w:tmpl w:val="7B46B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9572B8"/>
    <w:multiLevelType w:val="hybridMultilevel"/>
    <w:tmpl w:val="AFF6E3DC"/>
    <w:lvl w:ilvl="0" w:tplc="01E297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8"/>
  </w:num>
  <w:num w:numId="3">
    <w:abstractNumId w:val="6"/>
  </w:num>
  <w:num w:numId="4">
    <w:abstractNumId w:val="2"/>
  </w:num>
  <w:num w:numId="5">
    <w:abstractNumId w:val="1"/>
  </w:num>
  <w:num w:numId="6">
    <w:abstractNumId w:val="7"/>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EB"/>
    <w:rsid w:val="00001383"/>
    <w:rsid w:val="00014EFC"/>
    <w:rsid w:val="0003271D"/>
    <w:rsid w:val="00043D1B"/>
    <w:rsid w:val="00075989"/>
    <w:rsid w:val="000846ED"/>
    <w:rsid w:val="00091BC0"/>
    <w:rsid w:val="00096DC0"/>
    <w:rsid w:val="000C0AD5"/>
    <w:rsid w:val="000E04E3"/>
    <w:rsid w:val="001038A7"/>
    <w:rsid w:val="001155E2"/>
    <w:rsid w:val="00130FC5"/>
    <w:rsid w:val="0019095A"/>
    <w:rsid w:val="00192703"/>
    <w:rsid w:val="001A460D"/>
    <w:rsid w:val="001A5104"/>
    <w:rsid w:val="001C634B"/>
    <w:rsid w:val="001E1C8F"/>
    <w:rsid w:val="001E68D9"/>
    <w:rsid w:val="001F534C"/>
    <w:rsid w:val="002147B8"/>
    <w:rsid w:val="00247652"/>
    <w:rsid w:val="002577BB"/>
    <w:rsid w:val="0027281D"/>
    <w:rsid w:val="002757C4"/>
    <w:rsid w:val="002803BC"/>
    <w:rsid w:val="00283A0D"/>
    <w:rsid w:val="002946C8"/>
    <w:rsid w:val="00296393"/>
    <w:rsid w:val="002A251E"/>
    <w:rsid w:val="002D4F88"/>
    <w:rsid w:val="002F31D1"/>
    <w:rsid w:val="002F399D"/>
    <w:rsid w:val="00300FE5"/>
    <w:rsid w:val="00311735"/>
    <w:rsid w:val="003219B3"/>
    <w:rsid w:val="00343598"/>
    <w:rsid w:val="00386E76"/>
    <w:rsid w:val="003D76D9"/>
    <w:rsid w:val="003F034D"/>
    <w:rsid w:val="00414547"/>
    <w:rsid w:val="00415EB9"/>
    <w:rsid w:val="00416A13"/>
    <w:rsid w:val="004263C9"/>
    <w:rsid w:val="00471508"/>
    <w:rsid w:val="004C030E"/>
    <w:rsid w:val="0057216A"/>
    <w:rsid w:val="00572BCC"/>
    <w:rsid w:val="005D460E"/>
    <w:rsid w:val="00601A11"/>
    <w:rsid w:val="0064254A"/>
    <w:rsid w:val="006451EC"/>
    <w:rsid w:val="00657E13"/>
    <w:rsid w:val="006652B4"/>
    <w:rsid w:val="006767EB"/>
    <w:rsid w:val="006A6A08"/>
    <w:rsid w:val="006B4A35"/>
    <w:rsid w:val="006F3227"/>
    <w:rsid w:val="006F708A"/>
    <w:rsid w:val="007418C0"/>
    <w:rsid w:val="00764B33"/>
    <w:rsid w:val="00770B57"/>
    <w:rsid w:val="00782E64"/>
    <w:rsid w:val="00791323"/>
    <w:rsid w:val="00794D8F"/>
    <w:rsid w:val="00796F55"/>
    <w:rsid w:val="007F48D2"/>
    <w:rsid w:val="00824743"/>
    <w:rsid w:val="00840834"/>
    <w:rsid w:val="00841793"/>
    <w:rsid w:val="0084568E"/>
    <w:rsid w:val="008569AE"/>
    <w:rsid w:val="00857F1F"/>
    <w:rsid w:val="008905EC"/>
    <w:rsid w:val="008A1AD1"/>
    <w:rsid w:val="008C517B"/>
    <w:rsid w:val="008E26BF"/>
    <w:rsid w:val="008E532A"/>
    <w:rsid w:val="008F1067"/>
    <w:rsid w:val="00902AFA"/>
    <w:rsid w:val="00907366"/>
    <w:rsid w:val="00931569"/>
    <w:rsid w:val="00935860"/>
    <w:rsid w:val="00935EA9"/>
    <w:rsid w:val="009448B6"/>
    <w:rsid w:val="0094533B"/>
    <w:rsid w:val="00956DCC"/>
    <w:rsid w:val="00976905"/>
    <w:rsid w:val="00985DEC"/>
    <w:rsid w:val="00985F4F"/>
    <w:rsid w:val="009C00C0"/>
    <w:rsid w:val="009E0797"/>
    <w:rsid w:val="009E52CB"/>
    <w:rsid w:val="009E7A92"/>
    <w:rsid w:val="009F1BCC"/>
    <w:rsid w:val="009F684E"/>
    <w:rsid w:val="00A06520"/>
    <w:rsid w:val="00A06F6D"/>
    <w:rsid w:val="00A15FE6"/>
    <w:rsid w:val="00A37551"/>
    <w:rsid w:val="00A43194"/>
    <w:rsid w:val="00A928FF"/>
    <w:rsid w:val="00AC77F2"/>
    <w:rsid w:val="00AD38EE"/>
    <w:rsid w:val="00AD6DB5"/>
    <w:rsid w:val="00B0640B"/>
    <w:rsid w:val="00B303F1"/>
    <w:rsid w:val="00B33AC0"/>
    <w:rsid w:val="00B822C3"/>
    <w:rsid w:val="00B850B7"/>
    <w:rsid w:val="00BA0DFE"/>
    <w:rsid w:val="00BA6C38"/>
    <w:rsid w:val="00BB4018"/>
    <w:rsid w:val="00BF21D7"/>
    <w:rsid w:val="00C04A6E"/>
    <w:rsid w:val="00C10A40"/>
    <w:rsid w:val="00C50A8F"/>
    <w:rsid w:val="00C51191"/>
    <w:rsid w:val="00C52325"/>
    <w:rsid w:val="00C601C4"/>
    <w:rsid w:val="00C70979"/>
    <w:rsid w:val="00C73632"/>
    <w:rsid w:val="00CA3B8C"/>
    <w:rsid w:val="00CA7B72"/>
    <w:rsid w:val="00CB246C"/>
    <w:rsid w:val="00CC1821"/>
    <w:rsid w:val="00D12C7B"/>
    <w:rsid w:val="00D24FAB"/>
    <w:rsid w:val="00D43748"/>
    <w:rsid w:val="00D46843"/>
    <w:rsid w:val="00D73F2C"/>
    <w:rsid w:val="00D761DB"/>
    <w:rsid w:val="00D848A8"/>
    <w:rsid w:val="00DC22A2"/>
    <w:rsid w:val="00DD2817"/>
    <w:rsid w:val="00DD49E5"/>
    <w:rsid w:val="00DE57B6"/>
    <w:rsid w:val="00E00EC0"/>
    <w:rsid w:val="00E17103"/>
    <w:rsid w:val="00E22584"/>
    <w:rsid w:val="00E366B0"/>
    <w:rsid w:val="00E54255"/>
    <w:rsid w:val="00E705E1"/>
    <w:rsid w:val="00E80A50"/>
    <w:rsid w:val="00E86875"/>
    <w:rsid w:val="00E9255D"/>
    <w:rsid w:val="00E97BBF"/>
    <w:rsid w:val="00EE4A46"/>
    <w:rsid w:val="00F02238"/>
    <w:rsid w:val="00F23DD3"/>
    <w:rsid w:val="00F2712D"/>
    <w:rsid w:val="00F32C37"/>
    <w:rsid w:val="00F42C27"/>
    <w:rsid w:val="00F474EF"/>
    <w:rsid w:val="00F6477F"/>
    <w:rsid w:val="00FB6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color w:val="000000"/>
      <w:spacing w:val="-7"/>
      <w:sz w:val="24"/>
    </w:rPr>
  </w:style>
  <w:style w:type="paragraph" w:styleId="Heading1">
    <w:name w:val="heading 1"/>
    <w:basedOn w:val="Normal"/>
    <w:next w:val="Normal"/>
    <w:qFormat/>
    <w:pPr>
      <w:keepNext/>
      <w:outlineLvl w:val="0"/>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color w:val="auto"/>
      <w:spacing w:val="0"/>
    </w:rPr>
  </w:style>
  <w:style w:type="paragraph" w:styleId="BodyText">
    <w:name w:val="Body Text"/>
    <w:basedOn w:val="Normal"/>
    <w:link w:val="BodyTextChar"/>
    <w:pPr>
      <w:jc w:val="center"/>
    </w:pPr>
    <w:rPr>
      <w:b w:val="0"/>
      <w:i/>
      <w:color w:val="auto"/>
      <w:spacing w:val="0"/>
    </w:rPr>
  </w:style>
  <w:style w:type="character" w:customStyle="1" w:styleId="BodyTextChar">
    <w:name w:val="Body Text Char"/>
    <w:link w:val="BodyText"/>
    <w:rsid w:val="008C517B"/>
    <w:rPr>
      <w:i/>
      <w:sz w:val="24"/>
    </w:rPr>
  </w:style>
  <w:style w:type="paragraph" w:styleId="Header">
    <w:name w:val="header"/>
    <w:basedOn w:val="Normal"/>
    <w:link w:val="HeaderChar"/>
    <w:uiPriority w:val="99"/>
    <w:rsid w:val="00B822C3"/>
    <w:pPr>
      <w:tabs>
        <w:tab w:val="center" w:pos="4513"/>
        <w:tab w:val="right" w:pos="9026"/>
      </w:tabs>
    </w:pPr>
  </w:style>
  <w:style w:type="character" w:customStyle="1" w:styleId="HeaderChar">
    <w:name w:val="Header Char"/>
    <w:link w:val="Header"/>
    <w:uiPriority w:val="99"/>
    <w:rsid w:val="00B822C3"/>
    <w:rPr>
      <w:b/>
      <w:color w:val="000000"/>
      <w:spacing w:val="-7"/>
      <w:sz w:val="24"/>
    </w:rPr>
  </w:style>
  <w:style w:type="paragraph" w:styleId="Footer">
    <w:name w:val="footer"/>
    <w:basedOn w:val="Normal"/>
    <w:link w:val="FooterChar"/>
    <w:uiPriority w:val="99"/>
    <w:rsid w:val="00B822C3"/>
    <w:pPr>
      <w:tabs>
        <w:tab w:val="center" w:pos="4513"/>
        <w:tab w:val="right" w:pos="9026"/>
      </w:tabs>
    </w:pPr>
  </w:style>
  <w:style w:type="character" w:customStyle="1" w:styleId="FooterChar">
    <w:name w:val="Footer Char"/>
    <w:link w:val="Footer"/>
    <w:uiPriority w:val="99"/>
    <w:rsid w:val="00B822C3"/>
    <w:rPr>
      <w:b/>
      <w:color w:val="000000"/>
      <w:spacing w:val="-7"/>
      <w:sz w:val="24"/>
    </w:rPr>
  </w:style>
  <w:style w:type="paragraph" w:styleId="BalloonText">
    <w:name w:val="Balloon Text"/>
    <w:basedOn w:val="Normal"/>
    <w:link w:val="BalloonTextChar"/>
    <w:rsid w:val="00B822C3"/>
    <w:rPr>
      <w:rFonts w:ascii="Segoe UI" w:hAnsi="Segoe UI" w:cs="Segoe UI"/>
      <w:sz w:val="18"/>
      <w:szCs w:val="18"/>
    </w:rPr>
  </w:style>
  <w:style w:type="character" w:customStyle="1" w:styleId="BalloonTextChar">
    <w:name w:val="Balloon Text Char"/>
    <w:link w:val="BalloonText"/>
    <w:rsid w:val="00B822C3"/>
    <w:rPr>
      <w:rFonts w:ascii="Segoe UI" w:hAnsi="Segoe UI" w:cs="Segoe UI"/>
      <w:b/>
      <w:color w:val="000000"/>
      <w:spacing w:val="-7"/>
      <w:sz w:val="18"/>
      <w:szCs w:val="18"/>
    </w:rPr>
  </w:style>
  <w:style w:type="paragraph" w:styleId="ListParagraph">
    <w:name w:val="List Paragraph"/>
    <w:basedOn w:val="Normal"/>
    <w:uiPriority w:val="34"/>
    <w:qFormat/>
    <w:rsid w:val="00AD38EE"/>
    <w:pPr>
      <w:ind w:left="720"/>
    </w:pPr>
  </w:style>
  <w:style w:type="character" w:customStyle="1" w:styleId="TitleChar">
    <w:name w:val="Title Char"/>
    <w:link w:val="Title"/>
    <w:rsid w:val="003219B3"/>
    <w:rPr>
      <w:b/>
      <w:sz w:val="24"/>
    </w:rPr>
  </w:style>
  <w:style w:type="paragraph" w:styleId="FootnoteText">
    <w:name w:val="footnote text"/>
    <w:basedOn w:val="Normal"/>
    <w:link w:val="FootnoteTextChar"/>
    <w:rsid w:val="00572BCC"/>
    <w:rPr>
      <w:sz w:val="20"/>
    </w:rPr>
  </w:style>
  <w:style w:type="character" w:customStyle="1" w:styleId="FootnoteTextChar">
    <w:name w:val="Footnote Text Char"/>
    <w:link w:val="FootnoteText"/>
    <w:rsid w:val="00572BCC"/>
    <w:rPr>
      <w:b/>
      <w:color w:val="000000"/>
      <w:spacing w:val="-7"/>
    </w:rPr>
  </w:style>
  <w:style w:type="character" w:styleId="FootnoteReference">
    <w:name w:val="footnote reference"/>
    <w:rsid w:val="00572BCC"/>
    <w:rPr>
      <w:vertAlign w:val="superscript"/>
    </w:rPr>
  </w:style>
  <w:style w:type="character" w:styleId="Strong">
    <w:name w:val="Strong"/>
    <w:qFormat/>
    <w:rsid w:val="00CC1821"/>
    <w:rPr>
      <w:b/>
      <w:bCs/>
    </w:rPr>
  </w:style>
  <w:style w:type="character" w:styleId="Hyperlink">
    <w:name w:val="Hyperlink"/>
    <w:rsid w:val="00E1710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b/>
      <w:color w:val="000000"/>
      <w:spacing w:val="-7"/>
      <w:sz w:val="24"/>
    </w:rPr>
  </w:style>
  <w:style w:type="paragraph" w:styleId="Heading1">
    <w:name w:val="heading 1"/>
    <w:basedOn w:val="Normal"/>
    <w:next w:val="Normal"/>
    <w:qFormat/>
    <w:pPr>
      <w:keepNext/>
      <w:outlineLvl w:val="0"/>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color w:val="auto"/>
      <w:spacing w:val="0"/>
    </w:rPr>
  </w:style>
  <w:style w:type="paragraph" w:styleId="BodyText">
    <w:name w:val="Body Text"/>
    <w:basedOn w:val="Normal"/>
    <w:link w:val="BodyTextChar"/>
    <w:pPr>
      <w:jc w:val="center"/>
    </w:pPr>
    <w:rPr>
      <w:b w:val="0"/>
      <w:i/>
      <w:color w:val="auto"/>
      <w:spacing w:val="0"/>
    </w:rPr>
  </w:style>
  <w:style w:type="character" w:customStyle="1" w:styleId="BodyTextChar">
    <w:name w:val="Body Text Char"/>
    <w:link w:val="BodyText"/>
    <w:rsid w:val="008C517B"/>
    <w:rPr>
      <w:i/>
      <w:sz w:val="24"/>
    </w:rPr>
  </w:style>
  <w:style w:type="paragraph" w:styleId="Header">
    <w:name w:val="header"/>
    <w:basedOn w:val="Normal"/>
    <w:link w:val="HeaderChar"/>
    <w:uiPriority w:val="99"/>
    <w:rsid w:val="00B822C3"/>
    <w:pPr>
      <w:tabs>
        <w:tab w:val="center" w:pos="4513"/>
        <w:tab w:val="right" w:pos="9026"/>
      </w:tabs>
    </w:pPr>
  </w:style>
  <w:style w:type="character" w:customStyle="1" w:styleId="HeaderChar">
    <w:name w:val="Header Char"/>
    <w:link w:val="Header"/>
    <w:uiPriority w:val="99"/>
    <w:rsid w:val="00B822C3"/>
    <w:rPr>
      <w:b/>
      <w:color w:val="000000"/>
      <w:spacing w:val="-7"/>
      <w:sz w:val="24"/>
    </w:rPr>
  </w:style>
  <w:style w:type="paragraph" w:styleId="Footer">
    <w:name w:val="footer"/>
    <w:basedOn w:val="Normal"/>
    <w:link w:val="FooterChar"/>
    <w:uiPriority w:val="99"/>
    <w:rsid w:val="00B822C3"/>
    <w:pPr>
      <w:tabs>
        <w:tab w:val="center" w:pos="4513"/>
        <w:tab w:val="right" w:pos="9026"/>
      </w:tabs>
    </w:pPr>
  </w:style>
  <w:style w:type="character" w:customStyle="1" w:styleId="FooterChar">
    <w:name w:val="Footer Char"/>
    <w:link w:val="Footer"/>
    <w:uiPriority w:val="99"/>
    <w:rsid w:val="00B822C3"/>
    <w:rPr>
      <w:b/>
      <w:color w:val="000000"/>
      <w:spacing w:val="-7"/>
      <w:sz w:val="24"/>
    </w:rPr>
  </w:style>
  <w:style w:type="paragraph" w:styleId="BalloonText">
    <w:name w:val="Balloon Text"/>
    <w:basedOn w:val="Normal"/>
    <w:link w:val="BalloonTextChar"/>
    <w:rsid w:val="00B822C3"/>
    <w:rPr>
      <w:rFonts w:ascii="Segoe UI" w:hAnsi="Segoe UI" w:cs="Segoe UI"/>
      <w:sz w:val="18"/>
      <w:szCs w:val="18"/>
    </w:rPr>
  </w:style>
  <w:style w:type="character" w:customStyle="1" w:styleId="BalloonTextChar">
    <w:name w:val="Balloon Text Char"/>
    <w:link w:val="BalloonText"/>
    <w:rsid w:val="00B822C3"/>
    <w:rPr>
      <w:rFonts w:ascii="Segoe UI" w:hAnsi="Segoe UI" w:cs="Segoe UI"/>
      <w:b/>
      <w:color w:val="000000"/>
      <w:spacing w:val="-7"/>
      <w:sz w:val="18"/>
      <w:szCs w:val="18"/>
    </w:rPr>
  </w:style>
  <w:style w:type="paragraph" w:styleId="ListParagraph">
    <w:name w:val="List Paragraph"/>
    <w:basedOn w:val="Normal"/>
    <w:uiPriority w:val="34"/>
    <w:qFormat/>
    <w:rsid w:val="00AD38EE"/>
    <w:pPr>
      <w:ind w:left="720"/>
    </w:pPr>
  </w:style>
  <w:style w:type="character" w:customStyle="1" w:styleId="TitleChar">
    <w:name w:val="Title Char"/>
    <w:link w:val="Title"/>
    <w:rsid w:val="003219B3"/>
    <w:rPr>
      <w:b/>
      <w:sz w:val="24"/>
    </w:rPr>
  </w:style>
  <w:style w:type="paragraph" w:styleId="FootnoteText">
    <w:name w:val="footnote text"/>
    <w:basedOn w:val="Normal"/>
    <w:link w:val="FootnoteTextChar"/>
    <w:rsid w:val="00572BCC"/>
    <w:rPr>
      <w:sz w:val="20"/>
    </w:rPr>
  </w:style>
  <w:style w:type="character" w:customStyle="1" w:styleId="FootnoteTextChar">
    <w:name w:val="Footnote Text Char"/>
    <w:link w:val="FootnoteText"/>
    <w:rsid w:val="00572BCC"/>
    <w:rPr>
      <w:b/>
      <w:color w:val="000000"/>
      <w:spacing w:val="-7"/>
    </w:rPr>
  </w:style>
  <w:style w:type="character" w:styleId="FootnoteReference">
    <w:name w:val="footnote reference"/>
    <w:rsid w:val="00572BCC"/>
    <w:rPr>
      <w:vertAlign w:val="superscript"/>
    </w:rPr>
  </w:style>
  <w:style w:type="character" w:styleId="Strong">
    <w:name w:val="Strong"/>
    <w:qFormat/>
    <w:rsid w:val="00CC1821"/>
    <w:rPr>
      <w:b/>
      <w:bCs/>
    </w:rPr>
  </w:style>
  <w:style w:type="character" w:styleId="Hyperlink">
    <w:name w:val="Hyperlink"/>
    <w:rsid w:val="00E171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kenov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96CD1-43C6-4FC4-B446-0B5AEF19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REPORT ON USER COVENANTS IN LEASES</vt:lpstr>
    </vt:vector>
  </TitlesOfParts>
  <Company>Any Company</Company>
  <LinksUpToDate>false</LinksUpToDate>
  <CharactersWithSpaces>15632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USER COVENANTS IN LEASES</dc:title>
  <dc:creator>Neil Faris</dc:creator>
  <cp:lastModifiedBy>0</cp:lastModifiedBy>
  <cp:revision>8</cp:revision>
  <cp:lastPrinted>2021-02-26T11:42:00Z</cp:lastPrinted>
  <dcterms:created xsi:type="dcterms:W3CDTF">2021-02-27T19:37:00Z</dcterms:created>
  <dcterms:modified xsi:type="dcterms:W3CDTF">2021-03-03T11:07:00Z</dcterms:modified>
</cp:coreProperties>
</file>