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4C" w:rsidRDefault="00A1484C" w:rsidP="001A3F99">
      <w:pPr>
        <w:jc w:val="center"/>
        <w:rPr>
          <w:b/>
        </w:rPr>
      </w:pPr>
      <w:r w:rsidRPr="00FE105D">
        <w:rPr>
          <w:b/>
        </w:rPr>
        <w:t xml:space="preserve">OPEN LETTER TO </w:t>
      </w:r>
      <w:r w:rsidR="00483AA7" w:rsidRPr="00483AA7">
        <w:rPr>
          <w:b/>
        </w:rPr>
        <w:t xml:space="preserve">DUNJA MIJATOVIĆ </w:t>
      </w:r>
      <w:r w:rsidR="001A3F99">
        <w:rPr>
          <w:b/>
        </w:rPr>
        <w:t>THE</w:t>
      </w:r>
      <w:r w:rsidRPr="00FE105D">
        <w:rPr>
          <w:b/>
        </w:rPr>
        <w:t xml:space="preserve"> COUNCIL OF EUROPE HUMAN RIGHTS COMMISSIONER</w:t>
      </w:r>
    </w:p>
    <w:p w:rsidR="007B7C97" w:rsidRDefault="007B7C97" w:rsidP="001A3F99">
      <w:pPr>
        <w:jc w:val="center"/>
        <w:rPr>
          <w:b/>
        </w:rPr>
      </w:pPr>
    </w:p>
    <w:p w:rsidR="00A1484C" w:rsidRPr="007B7C97" w:rsidRDefault="007B7C97" w:rsidP="00CA1396">
      <w:pPr>
        <w:jc w:val="both"/>
      </w:pPr>
      <w:r w:rsidRPr="007B7C97">
        <w:t>[Published in News Letter 13 October 2021]</w:t>
      </w:r>
    </w:p>
    <w:p w:rsidR="00A1484C" w:rsidRPr="00FE105D" w:rsidRDefault="00A1484C" w:rsidP="00CA1396">
      <w:pPr>
        <w:jc w:val="both"/>
      </w:pPr>
      <w:r w:rsidRPr="00FE105D">
        <w:t xml:space="preserve">Dear Dunja Mijatović, </w:t>
      </w:r>
    </w:p>
    <w:p w:rsidR="00A1484C" w:rsidRPr="00FE105D" w:rsidRDefault="00A1484C" w:rsidP="00CA1396">
      <w:pPr>
        <w:jc w:val="both"/>
      </w:pPr>
      <w:r w:rsidRPr="00FE105D">
        <w:t>I am convenor of the Malone House Group</w:t>
      </w:r>
      <w:r w:rsidR="001A3F99">
        <w:t>,</w:t>
      </w:r>
      <w:r w:rsidRPr="00FE105D">
        <w:t xml:space="preserve"> a</w:t>
      </w:r>
      <w:r w:rsidR="00915236">
        <w:t xml:space="preserve"> Northern Ireland </w:t>
      </w:r>
      <w:r w:rsidRPr="00FE105D">
        <w:t>NGO recognised at the Council of Europe</w:t>
      </w:r>
      <w:r>
        <w:t xml:space="preserve"> which has</w:t>
      </w:r>
      <w:r w:rsidRPr="00FE105D">
        <w:t xml:space="preserve"> submitt</w:t>
      </w:r>
      <w:r>
        <w:t>ed</w:t>
      </w:r>
      <w:r w:rsidRPr="00FE105D">
        <w:t xml:space="preserve"> legal opinions on legacy to the Committee of Ministers</w:t>
      </w:r>
      <w:r>
        <w:t xml:space="preserve"> in Strasbourg</w:t>
      </w:r>
      <w:r w:rsidRPr="00FE105D">
        <w:t xml:space="preserve">. </w:t>
      </w:r>
      <w:r w:rsidR="00EF5A35">
        <w:t xml:space="preserve">We deal </w:t>
      </w:r>
      <w:r>
        <w:t>with all the Articles in the Convention, not j</w:t>
      </w:r>
      <w:r w:rsidR="00EF5A35">
        <w:t xml:space="preserve">ust 2 but the competing </w:t>
      </w:r>
      <w:r w:rsidR="0009437A">
        <w:t>and neglected</w:t>
      </w:r>
      <w:r w:rsidR="00ED474C">
        <w:t xml:space="preserve"> Articles</w:t>
      </w:r>
      <w:r w:rsidR="0009437A">
        <w:t xml:space="preserve"> </w:t>
      </w:r>
      <w:r>
        <w:t>6</w:t>
      </w:r>
      <w:r w:rsidR="00CE5B5C">
        <w:t>,</w:t>
      </w:r>
      <w:r>
        <w:t xml:space="preserve"> 8</w:t>
      </w:r>
      <w:r w:rsidR="00CE5B5C">
        <w:t>, 14 and 17</w:t>
      </w:r>
      <w:r>
        <w:t>.</w:t>
      </w:r>
    </w:p>
    <w:p w:rsidR="00A1484C" w:rsidRPr="00FE105D" w:rsidRDefault="00A1484C" w:rsidP="00CA1396">
      <w:pPr>
        <w:jc w:val="both"/>
      </w:pPr>
      <w:r w:rsidRPr="00FE105D">
        <w:t xml:space="preserve">We are a group of academics, historians and lawyers based in Belfast </w:t>
      </w:r>
      <w:r>
        <w:t xml:space="preserve">with </w:t>
      </w:r>
      <w:r w:rsidRPr="00FE105D">
        <w:t>a different point of view from that in the Northern Ireland u</w:t>
      </w:r>
      <w:r w:rsidR="001A3F99">
        <w:t xml:space="preserve">niversities and amongst </w:t>
      </w:r>
      <w:r w:rsidR="00635E54" w:rsidRPr="00FE105D">
        <w:t xml:space="preserve">legacy </w:t>
      </w:r>
      <w:r w:rsidRPr="00FE105D">
        <w:t>practitioners, which are given most media coverage. This explains why you will not have heard of us.</w:t>
      </w:r>
      <w:r w:rsidR="001A3F99">
        <w:t xml:space="preserve"> </w:t>
      </w:r>
    </w:p>
    <w:p w:rsidR="00A1484C" w:rsidRDefault="00A1484C" w:rsidP="00CA1396">
      <w:pPr>
        <w:jc w:val="both"/>
      </w:pPr>
      <w:r>
        <w:t xml:space="preserve">I </w:t>
      </w:r>
      <w:r w:rsidRPr="00FE105D">
        <w:t xml:space="preserve">read of your </w:t>
      </w:r>
      <w:r w:rsidR="002163F3">
        <w:t xml:space="preserve">recent </w:t>
      </w:r>
      <w:r w:rsidRPr="00FE105D">
        <w:t xml:space="preserve">intervention </w:t>
      </w:r>
      <w:r w:rsidR="00ED474C">
        <w:t>on legacy</w:t>
      </w:r>
      <w:r w:rsidR="00ED474C" w:rsidRPr="00FE105D">
        <w:t xml:space="preserve"> </w:t>
      </w:r>
      <w:r w:rsidRPr="00FE105D">
        <w:t xml:space="preserve">as </w:t>
      </w:r>
      <w:r>
        <w:t xml:space="preserve">the Council of Europe’s </w:t>
      </w:r>
      <w:r w:rsidRPr="00FE105D">
        <w:t>Human Rights Commissioner</w:t>
      </w:r>
      <w:r w:rsidR="0009437A">
        <w:t xml:space="preserve"> </w:t>
      </w:r>
      <w:r w:rsidR="002163F3">
        <w:t>which</w:t>
      </w:r>
      <w:r w:rsidR="001A3F99">
        <w:t xml:space="preserve"> </w:t>
      </w:r>
      <w:r w:rsidRPr="00FE105D">
        <w:t>merited a</w:t>
      </w:r>
      <w:r>
        <w:t xml:space="preserve"> critical </w:t>
      </w:r>
      <w:r w:rsidRPr="00FE105D">
        <w:t>editorial in the News Letter</w:t>
      </w:r>
      <w:r w:rsidR="002163F3" w:rsidRPr="002163F3">
        <w:t xml:space="preserve"> </w:t>
      </w:r>
      <w:r w:rsidR="002163F3">
        <w:t>(24 September 2021)</w:t>
      </w:r>
      <w:r w:rsidRPr="00FE105D">
        <w:t>.</w:t>
      </w:r>
    </w:p>
    <w:p w:rsidR="00A1484C" w:rsidRDefault="00A1484C" w:rsidP="00CA1396">
      <w:pPr>
        <w:jc w:val="both"/>
      </w:pPr>
      <w:r>
        <w:t xml:space="preserve">You </w:t>
      </w:r>
      <w:r w:rsidR="001A3F99">
        <w:t xml:space="preserve">had </w:t>
      </w:r>
      <w:r>
        <w:t xml:space="preserve">sent </w:t>
      </w:r>
      <w:r w:rsidR="00A16B1A">
        <w:t>a letter</w:t>
      </w:r>
      <w:r>
        <w:t xml:space="preserve"> to the Secretary of State on </w:t>
      </w:r>
      <w:r w:rsidR="001A3F99">
        <w:t>his</w:t>
      </w:r>
      <w:r>
        <w:t xml:space="preserve"> </w:t>
      </w:r>
      <w:r w:rsidR="0009437A">
        <w:t xml:space="preserve">July </w:t>
      </w:r>
      <w:r>
        <w:t xml:space="preserve">proposals </w:t>
      </w:r>
      <w:r w:rsidR="0009437A">
        <w:t>and</w:t>
      </w:r>
      <w:r w:rsidR="001A3F99">
        <w:t xml:space="preserve"> </w:t>
      </w:r>
      <w:r w:rsidR="00A16B1A">
        <w:t>referred to</w:t>
      </w:r>
      <w:r w:rsidR="001A3F99">
        <w:t xml:space="preserve"> “</w:t>
      </w:r>
      <w:r>
        <w:t>work done by my Office over the last two decades, including</w:t>
      </w:r>
      <w:r w:rsidR="00483AA7">
        <w:t>…</w:t>
      </w:r>
      <w:r>
        <w:t>discussions with several stakeholders in Northern Ireland, and a recent meeting with victims</w:t>
      </w:r>
      <w:r w:rsidR="0009437A">
        <w:t>”. Your observations addressed</w:t>
      </w:r>
      <w:r w:rsidR="00483AA7">
        <w:t>,</w:t>
      </w:r>
      <w:r>
        <w:t xml:space="preserve"> </w:t>
      </w:r>
      <w:r w:rsidR="0009437A">
        <w:t>“</w:t>
      </w:r>
      <w:r>
        <w:t>the</w:t>
      </w:r>
      <w:r w:rsidR="001A3F99">
        <w:t xml:space="preserve"> </w:t>
      </w:r>
      <w:r>
        <w:t>proposed</w:t>
      </w:r>
      <w:r w:rsidR="001A3F99">
        <w:t xml:space="preserve"> </w:t>
      </w:r>
      <w:r>
        <w:t>statute</w:t>
      </w:r>
      <w:r w:rsidR="001A3F99">
        <w:t xml:space="preserve"> </w:t>
      </w:r>
      <w:r>
        <w:t>of</w:t>
      </w:r>
      <w:r w:rsidR="001A3F99">
        <w:t xml:space="preserve"> </w:t>
      </w:r>
      <w:r>
        <w:t>limitations</w:t>
      </w:r>
      <w:r w:rsidR="001A3F99">
        <w:t xml:space="preserve"> </w:t>
      </w:r>
      <w:r>
        <w:t>and</w:t>
      </w:r>
      <w:r w:rsidR="001A3F99">
        <w:t xml:space="preserve"> </w:t>
      </w:r>
      <w:r>
        <w:t>its</w:t>
      </w:r>
      <w:r w:rsidR="001A3F99">
        <w:t xml:space="preserve"> </w:t>
      </w:r>
      <w:r>
        <w:t>compliance</w:t>
      </w:r>
      <w:r w:rsidR="001A3F99">
        <w:t xml:space="preserve"> </w:t>
      </w:r>
      <w:r>
        <w:t>with</w:t>
      </w:r>
      <w:r w:rsidR="001A3F99">
        <w:t xml:space="preserve"> </w:t>
      </w:r>
      <w:r>
        <w:t>the</w:t>
      </w:r>
      <w:r w:rsidR="001A3F99">
        <w:t xml:space="preserve"> </w:t>
      </w:r>
      <w:r>
        <w:t>U</w:t>
      </w:r>
      <w:r w:rsidR="0009437A">
        <w:t>K’</w:t>
      </w:r>
      <w:r>
        <w:t>s</w:t>
      </w:r>
      <w:r w:rsidR="001A3F99">
        <w:t xml:space="preserve"> </w:t>
      </w:r>
      <w:r>
        <w:t>international obligations;</w:t>
      </w:r>
      <w:r w:rsidR="001A3F99">
        <w:t xml:space="preserve"> </w:t>
      </w:r>
      <w:r>
        <w:t>the</w:t>
      </w:r>
      <w:r w:rsidR="001A3F99">
        <w:t xml:space="preserve"> </w:t>
      </w:r>
      <w:r>
        <w:t>pitting</w:t>
      </w:r>
      <w:r w:rsidR="001A3F99">
        <w:t xml:space="preserve"> </w:t>
      </w:r>
      <w:r>
        <w:t>of</w:t>
      </w:r>
      <w:r w:rsidR="001A3F99">
        <w:t xml:space="preserve"> </w:t>
      </w:r>
      <w:r>
        <w:t>criminal</w:t>
      </w:r>
      <w:r w:rsidR="001A3F99">
        <w:t xml:space="preserve"> </w:t>
      </w:r>
      <w:r>
        <w:t>justice</w:t>
      </w:r>
      <w:r w:rsidR="001A3F99">
        <w:t xml:space="preserve"> </w:t>
      </w:r>
      <w:r>
        <w:t>against</w:t>
      </w:r>
      <w:r w:rsidR="001A3F99">
        <w:t xml:space="preserve"> </w:t>
      </w:r>
      <w:r>
        <w:t>truth</w:t>
      </w:r>
      <w:r w:rsidR="001A3F99">
        <w:t xml:space="preserve"> </w:t>
      </w:r>
      <w:r>
        <w:t>and</w:t>
      </w:r>
      <w:r w:rsidR="001A3F99">
        <w:t xml:space="preserve"> </w:t>
      </w:r>
      <w:r>
        <w:t>reconciliation;</w:t>
      </w:r>
      <w:r w:rsidR="001A3F99">
        <w:t xml:space="preserve"> </w:t>
      </w:r>
      <w:r>
        <w:t>the</w:t>
      </w:r>
      <w:r w:rsidR="001A3F99">
        <w:t xml:space="preserve"> </w:t>
      </w:r>
      <w:r>
        <w:t>ongoing</w:t>
      </w:r>
      <w:r w:rsidR="001A3F99">
        <w:t xml:space="preserve"> </w:t>
      </w:r>
      <w:r>
        <w:t>delays</w:t>
      </w:r>
      <w:r w:rsidR="001A3F99">
        <w:t xml:space="preserve"> </w:t>
      </w:r>
      <w:r>
        <w:t>in implementing commitments on legacy issues; and the lack of a victim-centred approach.”</w:t>
      </w:r>
    </w:p>
    <w:p w:rsidR="00A1484C" w:rsidRPr="00FC1429" w:rsidRDefault="00A16B1A" w:rsidP="00CA1396">
      <w:pPr>
        <w:jc w:val="both"/>
      </w:pPr>
      <w:r>
        <w:t xml:space="preserve">In conclusion, you </w:t>
      </w:r>
      <w:r w:rsidR="00672D3A">
        <w:t>wrote</w:t>
      </w:r>
      <w:r>
        <w:t>, “I</w:t>
      </w:r>
      <w:r w:rsidR="00332735" w:rsidRPr="00E70E65">
        <w:t>f adopted, the plan would lead to impunity and cannot be the foundation on which</w:t>
      </w:r>
      <w:r w:rsidR="00332735">
        <w:t xml:space="preserve"> transitional justice is built.”</w:t>
      </w:r>
      <w:r>
        <w:t xml:space="preserve"> </w:t>
      </w:r>
      <w:r w:rsidR="00672D3A">
        <w:t>Your</w:t>
      </w:r>
      <w:r w:rsidR="00332735">
        <w:t xml:space="preserve"> frequent</w:t>
      </w:r>
      <w:r w:rsidR="001A3F99">
        <w:t xml:space="preserve"> use of the phrase</w:t>
      </w:r>
      <w:r w:rsidR="001A3F99" w:rsidRPr="00640FE2">
        <w:t xml:space="preserve"> </w:t>
      </w:r>
      <w:r w:rsidR="00705573">
        <w:t>transitional justice</w:t>
      </w:r>
      <w:r w:rsidR="001A3F99">
        <w:t xml:space="preserve"> </w:t>
      </w:r>
      <w:r w:rsidR="00672D3A">
        <w:t xml:space="preserve">(TJ) </w:t>
      </w:r>
      <w:r>
        <w:t xml:space="preserve">in </w:t>
      </w:r>
      <w:r w:rsidR="00705573">
        <w:t>your</w:t>
      </w:r>
      <w:r>
        <w:t xml:space="preserve"> letter </w:t>
      </w:r>
      <w:r w:rsidR="00A1484C">
        <w:t>reveal</w:t>
      </w:r>
      <w:r w:rsidR="00A65B37">
        <w:t>s</w:t>
      </w:r>
      <w:r w:rsidR="00A1484C">
        <w:t xml:space="preserve"> a partial</w:t>
      </w:r>
      <w:r w:rsidR="001A3F99">
        <w:t xml:space="preserve"> view,</w:t>
      </w:r>
      <w:r w:rsidR="00A1484C">
        <w:t xml:space="preserve"> divo</w:t>
      </w:r>
      <w:r w:rsidR="00705573">
        <w:t>rced from Strasbourg</w:t>
      </w:r>
      <w:r w:rsidR="00A1484C">
        <w:t xml:space="preserve"> legacy </w:t>
      </w:r>
      <w:r w:rsidR="00672D3A">
        <w:t>judgments</w:t>
      </w:r>
      <w:r w:rsidR="001A3F99">
        <w:t>.</w:t>
      </w:r>
      <w:r w:rsidR="00A1484C">
        <w:t xml:space="preserve"> </w:t>
      </w:r>
      <w:r w:rsidR="00462429">
        <w:t>To d</w:t>
      </w:r>
      <w:r w:rsidR="00A1484C">
        <w:t>eploy th</w:t>
      </w:r>
      <w:r w:rsidR="001A3F99">
        <w:t>at concept</w:t>
      </w:r>
      <w:r w:rsidR="00A1484C">
        <w:t xml:space="preserve">, </w:t>
      </w:r>
      <w:r>
        <w:t>reflects a</w:t>
      </w:r>
      <w:r w:rsidR="00A1484C" w:rsidRPr="00FC1429">
        <w:t xml:space="preserve"> radical </w:t>
      </w:r>
      <w:r w:rsidR="0032055E">
        <w:t xml:space="preserve">approach </w:t>
      </w:r>
      <w:r>
        <w:t xml:space="preserve">more </w:t>
      </w:r>
      <w:r w:rsidR="00A1484C" w:rsidRPr="00FC1429">
        <w:t>than</w:t>
      </w:r>
      <w:r w:rsidR="00E40E20">
        <w:t xml:space="preserve"> a</w:t>
      </w:r>
      <w:r w:rsidR="00A1484C" w:rsidRPr="00FC1429">
        <w:t xml:space="preserve"> cognisan</w:t>
      </w:r>
      <w:r w:rsidR="00E40E20">
        <w:t>ce</w:t>
      </w:r>
      <w:r w:rsidR="00A1484C" w:rsidRPr="00FC1429">
        <w:t xml:space="preserve"> of the </w:t>
      </w:r>
      <w:r w:rsidR="00462429" w:rsidRPr="00FC1429">
        <w:t xml:space="preserve">jurisprudence </w:t>
      </w:r>
      <w:r w:rsidR="00462429">
        <w:t xml:space="preserve">of the </w:t>
      </w:r>
      <w:r w:rsidR="00A1484C" w:rsidRPr="00FC1429">
        <w:t xml:space="preserve">European </w:t>
      </w:r>
      <w:r w:rsidR="00A1484C">
        <w:t>C</w:t>
      </w:r>
      <w:r w:rsidR="00A1484C" w:rsidRPr="00FC1429">
        <w:t xml:space="preserve">ourt of </w:t>
      </w:r>
      <w:r w:rsidR="00A1484C">
        <w:t>Hu</w:t>
      </w:r>
      <w:r w:rsidR="00A1484C" w:rsidRPr="00FC1429">
        <w:t xml:space="preserve">man </w:t>
      </w:r>
      <w:r w:rsidR="00A1484C">
        <w:t>R</w:t>
      </w:r>
      <w:r w:rsidR="00A1484C" w:rsidRPr="00FC1429">
        <w:t>ights</w:t>
      </w:r>
      <w:r w:rsidR="00E40E20">
        <w:t xml:space="preserve"> (ECtHR)</w:t>
      </w:r>
      <w:r w:rsidR="00A1484C" w:rsidRPr="00FC1429">
        <w:t>. </w:t>
      </w:r>
      <w:r w:rsidR="00A1484C">
        <w:t>It may be</w:t>
      </w:r>
      <w:r w:rsidR="00A1484C" w:rsidRPr="00FC1429">
        <w:t xml:space="preserve"> </w:t>
      </w:r>
      <w:r w:rsidR="00462429">
        <w:t>the governing</w:t>
      </w:r>
      <w:r w:rsidR="00A1484C" w:rsidRPr="00FC1429">
        <w:t xml:space="preserve"> </w:t>
      </w:r>
      <w:r w:rsidR="00A65B37">
        <w:t>outlook</w:t>
      </w:r>
      <w:r w:rsidR="00A1484C">
        <w:t xml:space="preserve"> </w:t>
      </w:r>
      <w:r w:rsidR="00A1484C" w:rsidRPr="00FC1429">
        <w:t xml:space="preserve">in </w:t>
      </w:r>
      <w:r w:rsidR="001A3F99">
        <w:t>our</w:t>
      </w:r>
      <w:r w:rsidR="001A3F99" w:rsidRPr="00FC1429">
        <w:t xml:space="preserve"> universit</w:t>
      </w:r>
      <w:r w:rsidR="001A3F99">
        <w:t xml:space="preserve">y </w:t>
      </w:r>
      <w:r w:rsidR="00462429">
        <w:t xml:space="preserve">law departments </w:t>
      </w:r>
      <w:r w:rsidR="00A1484C">
        <w:t xml:space="preserve">but </w:t>
      </w:r>
      <w:r w:rsidR="00462429">
        <w:t xml:space="preserve">it </w:t>
      </w:r>
      <w:r w:rsidR="001A3F99">
        <w:t xml:space="preserve">is not </w:t>
      </w:r>
      <w:proofErr w:type="gramStart"/>
      <w:r w:rsidR="001A3F99">
        <w:t>mainstream</w:t>
      </w:r>
      <w:proofErr w:type="gramEnd"/>
      <w:r w:rsidR="0032055E">
        <w:t xml:space="preserve"> in Europe</w:t>
      </w:r>
      <w:r w:rsidR="001A3F99">
        <w:t>. E</w:t>
      </w:r>
      <w:r w:rsidR="00A1484C">
        <w:t xml:space="preserve">ven in the </w:t>
      </w:r>
      <w:r w:rsidR="00A1484C" w:rsidRPr="00FC1429">
        <w:t xml:space="preserve">development of </w:t>
      </w:r>
      <w:r>
        <w:t xml:space="preserve">its </w:t>
      </w:r>
      <w:r w:rsidR="00A1484C">
        <w:t>Article 2 procedural right</w:t>
      </w:r>
      <w:r w:rsidR="00462429">
        <w:t>,</w:t>
      </w:r>
      <w:r w:rsidR="00A1484C">
        <w:t xml:space="preserve"> the Court</w:t>
      </w:r>
      <w:r w:rsidR="00A1484C" w:rsidRPr="00FC1429">
        <w:t xml:space="preserve"> </w:t>
      </w:r>
      <w:r>
        <w:t>does not</w:t>
      </w:r>
      <w:r w:rsidR="00483AA7">
        <w:t xml:space="preserve"> </w:t>
      </w:r>
      <w:r w:rsidR="00A1484C" w:rsidRPr="00FC1429">
        <w:t xml:space="preserve">consider Northern Ireland </w:t>
      </w:r>
      <w:r w:rsidR="00672D3A">
        <w:t>applications</w:t>
      </w:r>
      <w:r w:rsidR="00483AA7">
        <w:t xml:space="preserve"> in TJ terms</w:t>
      </w:r>
      <w:r w:rsidR="00A1484C" w:rsidRPr="00FC1429">
        <w:t>.</w:t>
      </w:r>
    </w:p>
    <w:p w:rsidR="001A3F99" w:rsidRDefault="00A1484C" w:rsidP="00CA1396">
      <w:pPr>
        <w:jc w:val="both"/>
      </w:pPr>
      <w:r w:rsidRPr="00FE105D">
        <w:t xml:space="preserve">For your information, I won a case against the United Kingdom at the </w:t>
      </w:r>
      <w:r w:rsidR="00E40E20">
        <w:t>ECtHR i</w:t>
      </w:r>
      <w:r>
        <w:t>n</w:t>
      </w:r>
      <w:r w:rsidRPr="00FE105D">
        <w:t xml:space="preserve"> 1981</w:t>
      </w:r>
      <w:r w:rsidR="001A3F99">
        <w:t xml:space="preserve">. </w:t>
      </w:r>
      <w:r w:rsidR="00A16B1A">
        <w:t>I</w:t>
      </w:r>
      <w:r w:rsidR="00E40E20">
        <w:t>ndeed i</w:t>
      </w:r>
      <w:r w:rsidR="00FC376C">
        <w:t>t</w:t>
      </w:r>
      <w:r w:rsidR="001A3F99">
        <w:t xml:space="preserve"> was forty</w:t>
      </w:r>
      <w:r>
        <w:t xml:space="preserve"> years ago this month</w:t>
      </w:r>
      <w:r w:rsidR="00462429" w:rsidRPr="00462429">
        <w:t xml:space="preserve"> </w:t>
      </w:r>
      <w:r w:rsidR="00462429">
        <w:t xml:space="preserve">when </w:t>
      </w:r>
      <w:r w:rsidR="001A3F99">
        <w:t xml:space="preserve">the Court </w:t>
      </w:r>
      <w:r w:rsidR="00462429">
        <w:t xml:space="preserve">obliged </w:t>
      </w:r>
      <w:r w:rsidR="001A3F99">
        <w:t>Westminster to decriminalise</w:t>
      </w:r>
      <w:r w:rsidR="00462429">
        <w:t xml:space="preserve"> homosexual relations in Northern Ireland</w:t>
      </w:r>
      <w:r>
        <w:t>.</w:t>
      </w:r>
      <w:r w:rsidRPr="00FE105D">
        <w:t xml:space="preserve"> </w:t>
      </w:r>
    </w:p>
    <w:p w:rsidR="00A1484C" w:rsidRPr="00FE105D" w:rsidRDefault="00A1484C" w:rsidP="00CA1396">
      <w:pPr>
        <w:jc w:val="both"/>
      </w:pPr>
      <w:r>
        <w:t>I</w:t>
      </w:r>
      <w:r w:rsidRPr="00FE105D">
        <w:t xml:space="preserve"> </w:t>
      </w:r>
      <w:r w:rsidR="00A16B1A">
        <w:t>therefore</w:t>
      </w:r>
      <w:r w:rsidR="00D9185E">
        <w:t xml:space="preserve"> acknowledge</w:t>
      </w:r>
      <w:r w:rsidRPr="00FE105D">
        <w:t xml:space="preserve"> </w:t>
      </w:r>
      <w:r w:rsidR="00462429">
        <w:t>the Convention’s</w:t>
      </w:r>
      <w:r w:rsidRPr="00FE105D">
        <w:t xml:space="preserve"> value in terms of human rights </w:t>
      </w:r>
      <w:r>
        <w:t xml:space="preserve">and </w:t>
      </w:r>
      <w:r w:rsidR="001A3F99">
        <w:t>individual freedom</w:t>
      </w:r>
      <w:r w:rsidR="00462429">
        <w:t xml:space="preserve"> but </w:t>
      </w:r>
      <w:r>
        <w:t>no</w:t>
      </w:r>
      <w:r w:rsidR="00462429">
        <w:t xml:space="preserve"> longer as</w:t>
      </w:r>
      <w:r w:rsidRPr="00FE105D">
        <w:t xml:space="preserve"> much </w:t>
      </w:r>
      <w:r w:rsidR="00A16B1A">
        <w:t>when</w:t>
      </w:r>
      <w:r w:rsidRPr="00FE105D">
        <w:t xml:space="preserve"> cases and interventions </w:t>
      </w:r>
      <w:r w:rsidR="00462429">
        <w:t xml:space="preserve">appear </w:t>
      </w:r>
      <w:r>
        <w:t xml:space="preserve">increasingly </w:t>
      </w:r>
      <w:proofErr w:type="gramStart"/>
      <w:r w:rsidRPr="00FE105D">
        <w:t>partisan</w:t>
      </w:r>
      <w:proofErr w:type="gramEnd"/>
      <w:r w:rsidRPr="00FE105D">
        <w:t>.</w:t>
      </w:r>
    </w:p>
    <w:p w:rsidR="00A16B1A" w:rsidRDefault="00A1484C" w:rsidP="00CA1396">
      <w:pPr>
        <w:jc w:val="both"/>
      </w:pPr>
      <w:r>
        <w:t>F</w:t>
      </w:r>
      <w:r w:rsidRPr="00FE105D">
        <w:t>rom your biography</w:t>
      </w:r>
      <w:r w:rsidR="00CA1396">
        <w:t>,</w:t>
      </w:r>
      <w:r w:rsidRPr="00FE105D">
        <w:t xml:space="preserve"> </w:t>
      </w:r>
      <w:r>
        <w:t xml:space="preserve">I notice </w:t>
      </w:r>
      <w:r w:rsidRPr="00FE105D">
        <w:t xml:space="preserve">you have a Bosnian </w:t>
      </w:r>
      <w:r w:rsidR="00A16B1A">
        <w:t xml:space="preserve">Serb background which </w:t>
      </w:r>
      <w:r w:rsidRPr="00FE105D">
        <w:t xml:space="preserve">means you understand ethnic disputes and the different ways to </w:t>
      </w:r>
      <w:r w:rsidR="00E40E20">
        <w:t>try to</w:t>
      </w:r>
      <w:r w:rsidR="001A3F99">
        <w:t xml:space="preserve"> solve </w:t>
      </w:r>
      <w:r w:rsidRPr="00FE105D">
        <w:t>them</w:t>
      </w:r>
      <w:r w:rsidR="00A16B1A">
        <w:t>. These have</w:t>
      </w:r>
      <w:r>
        <w:t xml:space="preserve"> </w:t>
      </w:r>
      <w:r w:rsidRPr="00FE105D">
        <w:t>by no means all</w:t>
      </w:r>
      <w:r w:rsidR="00A16B1A">
        <w:t xml:space="preserve"> been</w:t>
      </w:r>
      <w:r w:rsidRPr="00FE105D">
        <w:t xml:space="preserve"> successful</w:t>
      </w:r>
      <w:r w:rsidR="00CA1396">
        <w:t xml:space="preserve"> although they </w:t>
      </w:r>
      <w:r w:rsidR="001A3F99">
        <w:t xml:space="preserve">have </w:t>
      </w:r>
      <w:r w:rsidR="00CA1396">
        <w:t>include</w:t>
      </w:r>
      <w:r w:rsidR="001A3F99">
        <w:t>d</w:t>
      </w:r>
      <w:r w:rsidR="00CA1396">
        <w:t xml:space="preserve"> amnesties</w:t>
      </w:r>
      <w:r w:rsidRPr="00FE105D">
        <w:t xml:space="preserve">. </w:t>
      </w:r>
    </w:p>
    <w:p w:rsidR="00A1484C" w:rsidRPr="00FE105D" w:rsidRDefault="00A1484C" w:rsidP="00CA1396">
      <w:pPr>
        <w:jc w:val="both"/>
      </w:pPr>
      <w:r w:rsidRPr="00FE105D">
        <w:lastRenderedPageBreak/>
        <w:t xml:space="preserve">I </w:t>
      </w:r>
      <w:r w:rsidR="001A3F99">
        <w:t>was</w:t>
      </w:r>
      <w:r w:rsidRPr="00FE105D">
        <w:t xml:space="preserve"> briefly in Bosnia and had interesting</w:t>
      </w:r>
      <w:r w:rsidR="00CA1396">
        <w:t>,</w:t>
      </w:r>
      <w:r w:rsidRPr="00FE105D">
        <w:t xml:space="preserve"> and surprising</w:t>
      </w:r>
      <w:r w:rsidR="00CA1396">
        <w:t>,</w:t>
      </w:r>
      <w:r w:rsidRPr="00FE105D">
        <w:t xml:space="preserve"> discussions with several, still Yugoslav</w:t>
      </w:r>
      <w:r>
        <w:t>-minded</w:t>
      </w:r>
      <w:r w:rsidRPr="00FE105D">
        <w:t>, Serbs there.</w:t>
      </w:r>
      <w:r w:rsidR="001A3F99">
        <w:t xml:space="preserve"> </w:t>
      </w:r>
      <w:r w:rsidRPr="00FE105D">
        <w:t xml:space="preserve">Like </w:t>
      </w:r>
      <w:r w:rsidR="00FC376C" w:rsidRPr="00FE105D">
        <w:t>me</w:t>
      </w:r>
      <w:r w:rsidRPr="00FE105D">
        <w:t>, they appreciated a broader political framework than ethnically-based states.</w:t>
      </w:r>
      <w:r w:rsidR="00CA1396">
        <w:t xml:space="preserve"> That has been the value of the United Kingdom whose arm</w:t>
      </w:r>
      <w:r w:rsidR="001A3F99">
        <w:t xml:space="preserve">y and police </w:t>
      </w:r>
      <w:r w:rsidR="00CA1396">
        <w:t>prevented a civil war</w:t>
      </w:r>
      <w:r w:rsidR="00A16B1A">
        <w:t xml:space="preserve"> from 1969</w:t>
      </w:r>
      <w:r w:rsidR="001A3F99">
        <w:t xml:space="preserve">. </w:t>
      </w:r>
      <w:r w:rsidR="00A16B1A">
        <w:t>Our</w:t>
      </w:r>
      <w:r w:rsidR="00CA1396">
        <w:t xml:space="preserve"> conflict was</w:t>
      </w:r>
      <w:r w:rsidR="001A3F99">
        <w:t xml:space="preserve"> none the less s</w:t>
      </w:r>
      <w:r w:rsidR="00CA1396">
        <w:t>evere</w:t>
      </w:r>
      <w:r w:rsidR="001A3F99">
        <w:t xml:space="preserve"> </w:t>
      </w:r>
      <w:r w:rsidR="00CA1396">
        <w:t>and</w:t>
      </w:r>
      <w:r w:rsidR="00ED474C">
        <w:t>,</w:t>
      </w:r>
      <w:r w:rsidR="00CA1396">
        <w:t xml:space="preserve"> until the Bosnian war</w:t>
      </w:r>
      <w:r w:rsidR="00ED474C">
        <w:t>,</w:t>
      </w:r>
      <w:r w:rsidR="00CA1396">
        <w:t xml:space="preserve"> the worst in Europe</w:t>
      </w:r>
      <w:r w:rsidR="001A3F99" w:rsidRPr="001A3F99">
        <w:t xml:space="preserve"> </w:t>
      </w:r>
      <w:r w:rsidR="001A3F99">
        <w:t>since 1945</w:t>
      </w:r>
      <w:r w:rsidR="00CA1396">
        <w:t>.</w:t>
      </w:r>
    </w:p>
    <w:p w:rsidR="004D52F1" w:rsidRDefault="00A16B1A" w:rsidP="00CA1396">
      <w:pPr>
        <w:jc w:val="both"/>
      </w:pPr>
      <w:r>
        <w:t>We</w:t>
      </w:r>
      <w:r w:rsidR="00A1484C" w:rsidRPr="00FE105D">
        <w:t xml:space="preserve"> appreciate the direction of travel of the UK Government in its latest proposals on ending </w:t>
      </w:r>
      <w:r w:rsidR="00A1484C">
        <w:t xml:space="preserve">Troubles </w:t>
      </w:r>
      <w:r w:rsidR="004D52F1">
        <w:t xml:space="preserve">criminal investigations. </w:t>
      </w:r>
      <w:r w:rsidR="00A1484C">
        <w:t xml:space="preserve">Of course </w:t>
      </w:r>
      <w:r w:rsidR="00CA1396">
        <w:t>t</w:t>
      </w:r>
      <w:r w:rsidR="00A1484C">
        <w:t>he</w:t>
      </w:r>
      <w:r w:rsidR="00ED474C">
        <w:t>y</w:t>
      </w:r>
      <w:r w:rsidR="00CA1396">
        <w:t xml:space="preserve"> are</w:t>
      </w:r>
      <w:r w:rsidR="00A1484C">
        <w:t xml:space="preserve"> </w:t>
      </w:r>
      <w:r w:rsidR="004D52F1">
        <w:t xml:space="preserve">only </w:t>
      </w:r>
      <w:r w:rsidR="00A1484C">
        <w:t>the latest</w:t>
      </w:r>
      <w:r w:rsidR="00A1484C" w:rsidRPr="00FE105D">
        <w:t xml:space="preserve"> </w:t>
      </w:r>
      <w:r w:rsidR="00A1484C">
        <w:t xml:space="preserve">in a long line of </w:t>
      </w:r>
      <w:r w:rsidR="00A1484C" w:rsidRPr="00FE105D">
        <w:t>amnesty arrangement</w:t>
      </w:r>
      <w:r w:rsidR="00A1484C">
        <w:t>s</w:t>
      </w:r>
      <w:r w:rsidR="00A1484C" w:rsidRPr="00FE105D">
        <w:t xml:space="preserve"> since </w:t>
      </w:r>
      <w:r w:rsidR="00A1484C">
        <w:t xml:space="preserve">the </w:t>
      </w:r>
      <w:r w:rsidR="0068591C">
        <w:t xml:space="preserve">1998 </w:t>
      </w:r>
      <w:r w:rsidR="004D52F1">
        <w:t xml:space="preserve">Agreement. </w:t>
      </w:r>
    </w:p>
    <w:p w:rsidR="007E5F54" w:rsidRDefault="00A16B1A" w:rsidP="00CA1396">
      <w:pPr>
        <w:jc w:val="both"/>
      </w:pPr>
      <w:r>
        <w:t>I list them here</w:t>
      </w:r>
      <w:r w:rsidR="0068591C">
        <w:t xml:space="preserve"> to illustrate their extent:</w:t>
      </w:r>
    </w:p>
    <w:p w:rsidR="00483AA7" w:rsidRDefault="00531300" w:rsidP="004D52F1">
      <w:pPr>
        <w:pStyle w:val="ListParagraph"/>
        <w:numPr>
          <w:ilvl w:val="0"/>
          <w:numId w:val="1"/>
        </w:numPr>
        <w:jc w:val="both"/>
      </w:pPr>
      <w:r>
        <w:t>T</w:t>
      </w:r>
      <w:r w:rsidR="00A16B1A">
        <w:t xml:space="preserve">he </w:t>
      </w:r>
      <w:r w:rsidR="0068591C">
        <w:t xml:space="preserve">Belfast </w:t>
      </w:r>
      <w:r w:rsidR="00A1484C">
        <w:t>Agreement released all paramilitary prisoners</w:t>
      </w:r>
      <w:r w:rsidR="00672D3A" w:rsidRPr="00672D3A">
        <w:t xml:space="preserve"> </w:t>
      </w:r>
      <w:r w:rsidR="00672D3A">
        <w:t>who had served two years in jail. They were the</w:t>
      </w:r>
      <w:r w:rsidR="00A16B1A">
        <w:t xml:space="preserve"> </w:t>
      </w:r>
      <w:r w:rsidR="00A16B1A" w:rsidRPr="00FE105D">
        <w:t xml:space="preserve">grossest of human rights </w:t>
      </w:r>
      <w:r w:rsidR="00915236">
        <w:t>abusers</w:t>
      </w:r>
      <w:r>
        <w:t xml:space="preserve">. </w:t>
      </w:r>
    </w:p>
    <w:p w:rsidR="00531300" w:rsidRDefault="00531300" w:rsidP="004D52F1">
      <w:pPr>
        <w:pStyle w:val="ListParagraph"/>
        <w:numPr>
          <w:ilvl w:val="0"/>
          <w:numId w:val="1"/>
        </w:numPr>
        <w:jc w:val="both"/>
      </w:pPr>
      <w:r>
        <w:t xml:space="preserve">It </w:t>
      </w:r>
      <w:r w:rsidR="00A16B1A">
        <w:t xml:space="preserve">also </w:t>
      </w:r>
      <w:r>
        <w:t xml:space="preserve">did away with the RUC, </w:t>
      </w:r>
      <w:r w:rsidR="00A1484C">
        <w:t xml:space="preserve">a police force that experienced 300 dead (the equivalent in GB terms of 10,000 officers killed). </w:t>
      </w:r>
    </w:p>
    <w:p w:rsidR="004D52F1" w:rsidRDefault="00A1484C" w:rsidP="00C022C6">
      <w:pPr>
        <w:pStyle w:val="ListParagraph"/>
        <w:numPr>
          <w:ilvl w:val="0"/>
          <w:numId w:val="1"/>
        </w:numPr>
        <w:jc w:val="both"/>
      </w:pPr>
      <w:r>
        <w:t>On-the-Run (OTR) letters of comfort</w:t>
      </w:r>
      <w:r w:rsidR="00672D3A">
        <w:t xml:space="preserve"> </w:t>
      </w:r>
      <w:r w:rsidR="00483AA7">
        <w:t>avoiding</w:t>
      </w:r>
      <w:r w:rsidR="00672D3A">
        <w:t xml:space="preserve"> prosecution </w:t>
      </w:r>
      <w:r w:rsidR="00531300">
        <w:t xml:space="preserve">were </w:t>
      </w:r>
      <w:r w:rsidR="00531300" w:rsidRPr="00FE105D">
        <w:t>provided</w:t>
      </w:r>
      <w:r w:rsidR="00A16B1A">
        <w:t>,</w:t>
      </w:r>
      <w:r w:rsidR="00531300" w:rsidRPr="00FE105D">
        <w:t xml:space="preserve"> </w:t>
      </w:r>
      <w:r w:rsidR="00531300">
        <w:t>in secret</w:t>
      </w:r>
      <w:r w:rsidR="00A16B1A">
        <w:t>,</w:t>
      </w:r>
      <w:r w:rsidR="00531300">
        <w:t xml:space="preserve"> </w:t>
      </w:r>
      <w:r w:rsidR="007531A1">
        <w:t xml:space="preserve">over fourteen years, </w:t>
      </w:r>
      <w:r w:rsidR="00531300">
        <w:t>to hundreds in the IRA</w:t>
      </w:r>
      <w:r w:rsidR="0032055E">
        <w:t>,</w:t>
      </w:r>
      <w:r w:rsidR="00531300">
        <w:t xml:space="preserve"> but only to loyal Republicans. </w:t>
      </w:r>
      <w:r w:rsidR="00732A04">
        <w:t xml:space="preserve">OTR is a misnomer in that most of the letters were handed to individuals living openly </w:t>
      </w:r>
      <w:r w:rsidR="00531300">
        <w:t>i</w:t>
      </w:r>
      <w:r w:rsidR="00732A04">
        <w:t>n Northern Ireland.</w:t>
      </w:r>
    </w:p>
    <w:p w:rsidR="004D52F1" w:rsidRDefault="00FD06DA" w:rsidP="00FD06DA">
      <w:pPr>
        <w:pStyle w:val="ListParagraph"/>
        <w:numPr>
          <w:ilvl w:val="0"/>
          <w:numId w:val="1"/>
        </w:numPr>
        <w:jc w:val="both"/>
      </w:pPr>
      <w:r>
        <w:t xml:space="preserve">Numerous </w:t>
      </w:r>
      <w:r w:rsidR="00C022C6">
        <w:t xml:space="preserve">Royal Prerogative of Mercy pardons for convicted prisoners </w:t>
      </w:r>
      <w:r w:rsidR="007531A1">
        <w:t>were</w:t>
      </w:r>
      <w:r w:rsidR="0068591C">
        <w:t xml:space="preserve"> secretly issued. G</w:t>
      </w:r>
      <w:r w:rsidR="00C022C6">
        <w:t xml:space="preserve">overnment says </w:t>
      </w:r>
      <w:r w:rsidR="0068591C">
        <w:t xml:space="preserve">however </w:t>
      </w:r>
      <w:r w:rsidR="007531A1">
        <w:t>most rec</w:t>
      </w:r>
      <w:r w:rsidR="00C022C6">
        <w:t>ords have been lost.</w:t>
      </w:r>
    </w:p>
    <w:p w:rsidR="0068591C" w:rsidRDefault="00FD06DA" w:rsidP="00FD06DA">
      <w:pPr>
        <w:pStyle w:val="ListParagraph"/>
        <w:numPr>
          <w:ilvl w:val="0"/>
          <w:numId w:val="1"/>
        </w:numPr>
        <w:jc w:val="both"/>
      </w:pPr>
      <w:r>
        <w:t>An amnesty</w:t>
      </w:r>
      <w:r w:rsidR="0068591C">
        <w:t>,</w:t>
      </w:r>
      <w:r w:rsidR="004D52F1">
        <w:t xml:space="preserve"> so</w:t>
      </w:r>
      <w:r>
        <w:t xml:space="preserve"> described in the legislation, was provided in relation to forensic evidence </w:t>
      </w:r>
      <w:r w:rsidR="0068591C">
        <w:t xml:space="preserve">obtained </w:t>
      </w:r>
      <w:r w:rsidR="0032055E">
        <w:t>from</w:t>
      </w:r>
      <w:r>
        <w:t xml:space="preserve"> decommissioned weapons.</w:t>
      </w:r>
    </w:p>
    <w:p w:rsidR="0068591C" w:rsidRDefault="00FD06DA" w:rsidP="00433366">
      <w:pPr>
        <w:pStyle w:val="ListParagraph"/>
        <w:numPr>
          <w:ilvl w:val="0"/>
          <w:numId w:val="1"/>
        </w:numPr>
        <w:jc w:val="both"/>
      </w:pPr>
      <w:r>
        <w:t>Evidence obtained from the bodies of the disappeared was prohibited</w:t>
      </w:r>
      <w:r w:rsidR="0032055E">
        <w:t xml:space="preserve"> f</w:t>
      </w:r>
      <w:r w:rsidR="00672D3A">
        <w:t>rom</w:t>
      </w:r>
      <w:r>
        <w:t xml:space="preserve"> court use.</w:t>
      </w:r>
    </w:p>
    <w:p w:rsidR="0068591C" w:rsidRDefault="00FD06DA" w:rsidP="00433366">
      <w:pPr>
        <w:pStyle w:val="ListParagraph"/>
        <w:numPr>
          <w:ilvl w:val="0"/>
          <w:numId w:val="1"/>
        </w:numPr>
        <w:jc w:val="both"/>
      </w:pPr>
      <w:r>
        <w:t>P</w:t>
      </w:r>
      <w:r w:rsidR="00433366">
        <w:t xml:space="preserve">rosecution indemnities </w:t>
      </w:r>
      <w:r w:rsidR="0032055E">
        <w:t xml:space="preserve">were provided </w:t>
      </w:r>
      <w:r w:rsidR="00433366">
        <w:t xml:space="preserve">for witnesses giving evidence at the </w:t>
      </w:r>
      <w:r>
        <w:t xml:space="preserve">Saville </w:t>
      </w:r>
      <w:r w:rsidR="0032055E">
        <w:t>tribunal</w:t>
      </w:r>
      <w:r>
        <w:t xml:space="preserve"> into Bloody Sunday a</w:t>
      </w:r>
      <w:r w:rsidR="0068591C">
        <w:t>nd in a series</w:t>
      </w:r>
      <w:r>
        <w:t xml:space="preserve"> of other</w:t>
      </w:r>
      <w:r w:rsidR="0032055E">
        <w:t xml:space="preserve"> </w:t>
      </w:r>
      <w:r>
        <w:t>public inquiries</w:t>
      </w:r>
      <w:r w:rsidR="00672D3A">
        <w:t>.</w:t>
      </w:r>
    </w:p>
    <w:p w:rsidR="0068591C" w:rsidRDefault="0068591C" w:rsidP="00CA1396">
      <w:pPr>
        <w:pStyle w:val="ListParagraph"/>
        <w:numPr>
          <w:ilvl w:val="0"/>
          <w:numId w:val="1"/>
        </w:numPr>
        <w:jc w:val="both"/>
      </w:pPr>
      <w:r>
        <w:t>A</w:t>
      </w:r>
      <w:r w:rsidR="0032055E">
        <w:t>greement</w:t>
      </w:r>
      <w:r>
        <w:t>s were made</w:t>
      </w:r>
      <w:r w:rsidR="0032055E">
        <w:t xml:space="preserve"> </w:t>
      </w:r>
      <w:r>
        <w:t>in 1999</w:t>
      </w:r>
      <w:r w:rsidR="00103216">
        <w:t xml:space="preserve"> </w:t>
      </w:r>
      <w:r>
        <w:t xml:space="preserve">between </w:t>
      </w:r>
      <w:r w:rsidR="0032055E">
        <w:t xml:space="preserve">Taoiseach </w:t>
      </w:r>
      <w:r w:rsidR="00103216">
        <w:t xml:space="preserve">Bertie Ahern and Tony Blair not to proceed with </w:t>
      </w:r>
      <w:r w:rsidR="0032055E">
        <w:t xml:space="preserve">any </w:t>
      </w:r>
      <w:r w:rsidR="00103216">
        <w:t>fu</w:t>
      </w:r>
      <w:r w:rsidR="0032055E">
        <w:t>ture</w:t>
      </w:r>
      <w:r w:rsidR="00103216">
        <w:t xml:space="preserve"> </w:t>
      </w:r>
      <w:r>
        <w:t xml:space="preserve">Troubles </w:t>
      </w:r>
      <w:r w:rsidR="00103216">
        <w:t>prosecutions or extraditions</w:t>
      </w:r>
      <w:r w:rsidR="0032055E">
        <w:t>.</w:t>
      </w:r>
    </w:p>
    <w:p w:rsidR="0068591C" w:rsidRDefault="00732A04" w:rsidP="00CA1396">
      <w:pPr>
        <w:pStyle w:val="ListParagraph"/>
        <w:numPr>
          <w:ilvl w:val="0"/>
          <w:numId w:val="1"/>
        </w:numPr>
        <w:jc w:val="both"/>
      </w:pPr>
      <w:r>
        <w:t>T</w:t>
      </w:r>
      <w:r w:rsidR="00A1484C">
        <w:t xml:space="preserve">he </w:t>
      </w:r>
      <w:r w:rsidR="0068591C">
        <w:t>non-</w:t>
      </w:r>
      <w:r w:rsidR="00A1484C">
        <w:t>investigation into the colossal numbers of people involved in the 16,000 bombings and the 37,000 shootings of the Troubles which did not involve deaths</w:t>
      </w:r>
      <w:r w:rsidR="0068591C">
        <w:t xml:space="preserve"> is a</w:t>
      </w:r>
      <w:r w:rsidR="00F46482">
        <w:t>nother</w:t>
      </w:r>
      <w:r w:rsidR="0068591C">
        <w:t xml:space="preserve"> amnesty. This affects </w:t>
      </w:r>
      <w:r w:rsidR="00A1484C">
        <w:t>some 50,000 people who were injured</w:t>
      </w:r>
      <w:r w:rsidR="00F46482">
        <w:t xml:space="preserve"> but not killed</w:t>
      </w:r>
      <w:r w:rsidR="00A1484C">
        <w:t xml:space="preserve">. </w:t>
      </w:r>
    </w:p>
    <w:p w:rsidR="00A1484C" w:rsidRDefault="00A1484C" w:rsidP="00CA1396">
      <w:pPr>
        <w:pStyle w:val="ListParagraph"/>
        <w:numPr>
          <w:ilvl w:val="0"/>
          <w:numId w:val="1"/>
        </w:numPr>
        <w:jc w:val="both"/>
      </w:pPr>
      <w:r>
        <w:t>Given the oft-predicted paucity of future prosecutions</w:t>
      </w:r>
      <w:r w:rsidR="0068591C">
        <w:t xml:space="preserve">, even by Jon Boutcher of </w:t>
      </w:r>
      <w:r w:rsidR="00F46482">
        <w:t xml:space="preserve">Operation </w:t>
      </w:r>
      <w:r w:rsidR="0068591C">
        <w:t>Kenova –</w:t>
      </w:r>
      <w:r>
        <w:t xml:space="preserve"> </w:t>
      </w:r>
      <w:r w:rsidR="0068591C">
        <w:t xml:space="preserve">and </w:t>
      </w:r>
      <w:r>
        <w:t>outside of army veterans</w:t>
      </w:r>
      <w:r w:rsidR="0068591C">
        <w:t xml:space="preserve"> </w:t>
      </w:r>
      <w:r w:rsidR="00F46482">
        <w:t>–</w:t>
      </w:r>
      <w:r w:rsidR="0068591C">
        <w:t xml:space="preserve"> </w:t>
      </w:r>
      <w:r>
        <w:t>we are</w:t>
      </w:r>
      <w:r w:rsidR="00483AA7">
        <w:t xml:space="preserve"> already</w:t>
      </w:r>
      <w:r>
        <w:t xml:space="preserve"> close, to a full amnesty.</w:t>
      </w:r>
    </w:p>
    <w:p w:rsidR="00A1484C" w:rsidRDefault="00A1484C" w:rsidP="00CA1396">
      <w:pPr>
        <w:jc w:val="both"/>
      </w:pPr>
      <w:r w:rsidRPr="00FE105D">
        <w:t>I am not aware of the COE condemning th</w:t>
      </w:r>
      <w:r>
        <w:t>e 1998</w:t>
      </w:r>
      <w:r w:rsidRPr="00FE105D">
        <w:t xml:space="preserve"> </w:t>
      </w:r>
      <w:r w:rsidR="00483AA7">
        <w:t xml:space="preserve">prisoner </w:t>
      </w:r>
      <w:r>
        <w:t>release</w:t>
      </w:r>
      <w:r w:rsidRPr="00FE105D">
        <w:t xml:space="preserve"> amnesty </w:t>
      </w:r>
      <w:r>
        <w:t xml:space="preserve">or any </w:t>
      </w:r>
      <w:r w:rsidR="00732A04">
        <w:t xml:space="preserve">of these </w:t>
      </w:r>
      <w:r>
        <w:t>other</w:t>
      </w:r>
      <w:r w:rsidR="00FD06DA">
        <w:t xml:space="preserve"> </w:t>
      </w:r>
      <w:r w:rsidR="0068591C">
        <w:t>later arrangements</w:t>
      </w:r>
      <w:r>
        <w:t xml:space="preserve"> </w:t>
      </w:r>
      <w:r w:rsidRPr="00FE105D">
        <w:t>and ask, if not why not? </w:t>
      </w:r>
    </w:p>
    <w:p w:rsidR="00732A04" w:rsidRPr="00FE105D" w:rsidRDefault="00732A04" w:rsidP="00732A04">
      <w:pPr>
        <w:jc w:val="both"/>
      </w:pPr>
      <w:r w:rsidRPr="00FE105D">
        <w:t xml:space="preserve">There are </w:t>
      </w:r>
      <w:r w:rsidR="00F46482">
        <w:t xml:space="preserve">as you know </w:t>
      </w:r>
      <w:r w:rsidRPr="00FE105D">
        <w:t>contested views of what are international obligations regarding amnesties</w:t>
      </w:r>
      <w:r w:rsidR="00F46482">
        <w:t xml:space="preserve"> but t</w:t>
      </w:r>
      <w:r w:rsidRPr="00FE105D">
        <w:t>hey are certainly not subject to condemnation in</w:t>
      </w:r>
      <w:r w:rsidR="00483AA7">
        <w:t xml:space="preserve"> such</w:t>
      </w:r>
      <w:r w:rsidRPr="00FE105D">
        <w:t xml:space="preserve"> law</w:t>
      </w:r>
      <w:r w:rsidR="00FD06DA">
        <w:t>.</w:t>
      </w:r>
    </w:p>
    <w:p w:rsidR="00732A04" w:rsidRDefault="00FD06DA" w:rsidP="00732A04">
      <w:pPr>
        <w:jc w:val="both"/>
        <w:rPr>
          <w:color w:val="000000"/>
        </w:rPr>
      </w:pPr>
      <w:r>
        <w:rPr>
          <w:color w:val="000000"/>
        </w:rPr>
        <w:t xml:space="preserve">Professor Brice Dickson, a former </w:t>
      </w:r>
      <w:r w:rsidR="0068591C">
        <w:rPr>
          <w:color w:val="000000"/>
        </w:rPr>
        <w:t xml:space="preserve">NI </w:t>
      </w:r>
      <w:r>
        <w:rPr>
          <w:color w:val="000000"/>
        </w:rPr>
        <w:t xml:space="preserve">Human Rights Chief </w:t>
      </w:r>
      <w:r w:rsidR="0068591C">
        <w:rPr>
          <w:color w:val="000000"/>
        </w:rPr>
        <w:t>Commissioner</w:t>
      </w:r>
      <w:r w:rsidR="00F46482">
        <w:rPr>
          <w:color w:val="000000"/>
        </w:rPr>
        <w:t>,</w:t>
      </w:r>
      <w:r>
        <w:rPr>
          <w:color w:val="000000"/>
        </w:rPr>
        <w:t xml:space="preserve"> has recently written</w:t>
      </w:r>
      <w:r w:rsidR="00280845">
        <w:rPr>
          <w:color w:val="000000"/>
        </w:rPr>
        <w:t>*</w:t>
      </w:r>
      <w:r w:rsidR="00693D88">
        <w:rPr>
          <w:color w:val="000000"/>
        </w:rPr>
        <w:t xml:space="preserve"> that the ECtHR’s Grand Chamber</w:t>
      </w:r>
      <w:r w:rsidR="00F46482">
        <w:rPr>
          <w:color w:val="000000"/>
        </w:rPr>
        <w:t>’s</w:t>
      </w:r>
      <w:r w:rsidR="00693D88">
        <w:rPr>
          <w:color w:val="000000"/>
        </w:rPr>
        <w:t xml:space="preserve"> opinion o</w:t>
      </w:r>
      <w:r w:rsidR="0068591C">
        <w:rPr>
          <w:color w:val="000000"/>
        </w:rPr>
        <w:t>n the (Croatian) Margus case</w:t>
      </w:r>
      <w:r>
        <w:rPr>
          <w:color w:val="000000"/>
        </w:rPr>
        <w:t>,</w:t>
      </w:r>
      <w:r w:rsidR="00732A04">
        <w:rPr>
          <w:color w:val="000000"/>
        </w:rPr>
        <w:t xml:space="preserve"> </w:t>
      </w:r>
      <w:r w:rsidR="005F6F5E">
        <w:rPr>
          <w:color w:val="000000"/>
        </w:rPr>
        <w:t>“</w:t>
      </w:r>
      <w:r w:rsidR="00732A04" w:rsidRPr="00FE105D">
        <w:rPr>
          <w:color w:val="000000"/>
        </w:rPr>
        <w:t xml:space="preserve">strongly implies that if, for the purpose of promoting reconciliation and the ongoing peace </w:t>
      </w:r>
      <w:r w:rsidR="00732A04" w:rsidRPr="00FE105D">
        <w:rPr>
          <w:color w:val="000000"/>
        </w:rPr>
        <w:lastRenderedPageBreak/>
        <w:t>process in Northern Ireland, a law were to be passed in the U</w:t>
      </w:r>
      <w:r w:rsidR="00483AA7">
        <w:rPr>
          <w:color w:val="000000"/>
        </w:rPr>
        <w:t>K</w:t>
      </w:r>
      <w:r w:rsidR="00732A04" w:rsidRPr="00FE105D">
        <w:rPr>
          <w:color w:val="000000"/>
        </w:rPr>
        <w:t xml:space="preserve"> granting an amnesty for all killings carried out in connection with the troubles in Northern Ireland before (say) 1998, the European Court might hold that law to be a sufficient justification for the State’s refusal to prosecute and/or punish someone for a killing even though there had not been a thorough and effectiv</w:t>
      </w:r>
      <w:r w:rsidR="00693D88">
        <w:rPr>
          <w:color w:val="000000"/>
        </w:rPr>
        <w:t>e investigation of that killing.</w:t>
      </w:r>
      <w:r>
        <w:rPr>
          <w:color w:val="000000"/>
        </w:rPr>
        <w:t>”</w:t>
      </w:r>
    </w:p>
    <w:p w:rsidR="00693D88" w:rsidRPr="00635E54" w:rsidRDefault="00693D88" w:rsidP="00635E54">
      <w:pPr>
        <w:jc w:val="both"/>
        <w:rPr>
          <w:color w:val="000000"/>
        </w:rPr>
      </w:pPr>
      <w:r>
        <w:rPr>
          <w:color w:val="000000"/>
        </w:rPr>
        <w:t>The Professor added, “</w:t>
      </w:r>
      <w:r w:rsidRPr="00FE105D">
        <w:rPr>
          <w:color w:val="000000"/>
        </w:rPr>
        <w:t>It might not so hold, however, in a situation where the killing was part of ‘a grave breach of fundamental rights’, a term which the European Court has chosen not to define</w:t>
      </w:r>
      <w:r>
        <w:rPr>
          <w:color w:val="000000"/>
        </w:rPr>
        <w:t xml:space="preserve">.” </w:t>
      </w:r>
      <w:r w:rsidR="0053025E">
        <w:rPr>
          <w:color w:val="000000"/>
        </w:rPr>
        <w:t>Significantly, t</w:t>
      </w:r>
      <w:r>
        <w:rPr>
          <w:color w:val="000000"/>
        </w:rPr>
        <w:t xml:space="preserve">he Overseas Operations </w:t>
      </w:r>
      <w:r w:rsidR="00635E54">
        <w:rPr>
          <w:color w:val="000000"/>
        </w:rPr>
        <w:t xml:space="preserve">(Service Personnel and </w:t>
      </w:r>
      <w:r w:rsidR="00635E54" w:rsidRPr="00635E54">
        <w:rPr>
          <w:color w:val="000000"/>
        </w:rPr>
        <w:t>Veterans</w:t>
      </w:r>
      <w:r w:rsidR="00635E54">
        <w:rPr>
          <w:color w:val="000000"/>
        </w:rPr>
        <w:t xml:space="preserve">) </w:t>
      </w:r>
      <w:r>
        <w:rPr>
          <w:color w:val="000000"/>
        </w:rPr>
        <w:t xml:space="preserve">Act 2021 </w:t>
      </w:r>
      <w:r w:rsidR="00635E54">
        <w:rPr>
          <w:color w:val="000000"/>
        </w:rPr>
        <w:t>which</w:t>
      </w:r>
      <w:r w:rsidR="00F46482">
        <w:rPr>
          <w:color w:val="000000"/>
        </w:rPr>
        <w:t xml:space="preserve"> </w:t>
      </w:r>
      <w:r w:rsidR="00635E54">
        <w:rPr>
          <w:color w:val="000000"/>
        </w:rPr>
        <w:t xml:space="preserve">does not cover those who served in Northern Ireland, </w:t>
      </w:r>
      <w:r>
        <w:rPr>
          <w:color w:val="000000"/>
        </w:rPr>
        <w:t xml:space="preserve">does not </w:t>
      </w:r>
      <w:r w:rsidR="00635E54">
        <w:rPr>
          <w:color w:val="000000"/>
        </w:rPr>
        <w:t>apply to</w:t>
      </w:r>
      <w:r w:rsidRPr="00693D88">
        <w:rPr>
          <w:color w:val="000000"/>
        </w:rPr>
        <w:t xml:space="preserve"> allegations of sexual offences, torture, crimes against humanity, genocide</w:t>
      </w:r>
      <w:r>
        <w:rPr>
          <w:color w:val="000000"/>
        </w:rPr>
        <w:t xml:space="preserve"> or</w:t>
      </w:r>
      <w:r w:rsidRPr="00693D88">
        <w:rPr>
          <w:color w:val="000000"/>
        </w:rPr>
        <w:t xml:space="preserve"> war crimes</w:t>
      </w:r>
      <w:r>
        <w:rPr>
          <w:color w:val="000000"/>
        </w:rPr>
        <w:t>.</w:t>
      </w:r>
    </w:p>
    <w:p w:rsidR="00732A04" w:rsidRPr="00FE105D" w:rsidRDefault="007E5F54" w:rsidP="00732A04">
      <w:pPr>
        <w:jc w:val="both"/>
      </w:pPr>
      <w:r w:rsidRPr="00FE105D">
        <w:t>What ought to be of greatest concern to the Council of Europe is that since our peace process culminated in 1998 there</w:t>
      </w:r>
      <w:r w:rsidR="0032055E">
        <w:t xml:space="preserve"> have been 160 </w:t>
      </w:r>
      <w:r w:rsidRPr="00FE105D">
        <w:t>political murders, all extrajudicial</w:t>
      </w:r>
      <w:r w:rsidR="00F46482">
        <w:t>,</w:t>
      </w:r>
      <w:r w:rsidRPr="00FE105D">
        <w:t xml:space="preserve"> and not one caused by the army or police. </w:t>
      </w:r>
      <w:r w:rsidR="00F31239">
        <w:t xml:space="preserve">Most are unpunished. </w:t>
      </w:r>
      <w:r>
        <w:t>W</w:t>
      </w:r>
      <w:r w:rsidRPr="00FE105D">
        <w:t>e would welcome an intervention on that aspect.</w:t>
      </w:r>
      <w:r w:rsidR="00732A04" w:rsidRPr="00732A04">
        <w:t xml:space="preserve"> </w:t>
      </w:r>
    </w:p>
    <w:p w:rsidR="00580B2C" w:rsidRDefault="0032055E" w:rsidP="00580B2C">
      <w:pPr>
        <w:jc w:val="both"/>
        <w:rPr>
          <w:color w:val="000000"/>
        </w:rPr>
      </w:pPr>
      <w:r>
        <w:t xml:space="preserve">Reconciliation </w:t>
      </w:r>
      <w:r w:rsidR="00A1484C" w:rsidRPr="00FE105D">
        <w:t xml:space="preserve">is </w:t>
      </w:r>
      <w:r>
        <w:t xml:space="preserve">being </w:t>
      </w:r>
      <w:r w:rsidR="00A1484C" w:rsidRPr="00FE105D">
        <w:t>impeded by legacy</w:t>
      </w:r>
      <w:r w:rsidR="00693D88">
        <w:t xml:space="preserve"> while </w:t>
      </w:r>
      <w:r>
        <w:t xml:space="preserve">lawfare </w:t>
      </w:r>
      <w:r w:rsidR="00693D88">
        <w:t>prevents wounds healing</w:t>
      </w:r>
      <w:r w:rsidR="00A1484C" w:rsidRPr="00FE105D">
        <w:t>.</w:t>
      </w:r>
      <w:r w:rsidR="00580B2C">
        <w:t xml:space="preserve"> What is needed in the Council</w:t>
      </w:r>
      <w:r>
        <w:t xml:space="preserve"> of Europe</w:t>
      </w:r>
      <w:r w:rsidR="00693D88">
        <w:t xml:space="preserve"> </w:t>
      </w:r>
      <w:r>
        <w:t>is</w:t>
      </w:r>
      <w:r w:rsidR="00580B2C">
        <w:t xml:space="preserve"> </w:t>
      </w:r>
      <w:r>
        <w:t xml:space="preserve">a </w:t>
      </w:r>
      <w:r w:rsidR="00580B2C">
        <w:t xml:space="preserve">review of the Court’s </w:t>
      </w:r>
      <w:r w:rsidR="00580B2C">
        <w:rPr>
          <w:color w:val="000000"/>
        </w:rPr>
        <w:t>jurisprudence which</w:t>
      </w:r>
      <w:r>
        <w:rPr>
          <w:color w:val="000000"/>
        </w:rPr>
        <w:t>,</w:t>
      </w:r>
      <w:r w:rsidR="00483AA7">
        <w:rPr>
          <w:color w:val="000000"/>
        </w:rPr>
        <w:t xml:space="preserve"> on amnesties and statutes of limitations </w:t>
      </w:r>
      <w:r w:rsidR="00580B2C">
        <w:rPr>
          <w:color w:val="000000"/>
        </w:rPr>
        <w:t>is patchy and unclear</w:t>
      </w:r>
      <w:r w:rsidR="00033950">
        <w:rPr>
          <w:color w:val="000000"/>
        </w:rPr>
        <w:t>,</w:t>
      </w:r>
      <w:r w:rsidR="00693D88">
        <w:rPr>
          <w:color w:val="000000"/>
        </w:rPr>
        <w:t xml:space="preserve"> </w:t>
      </w:r>
      <w:r w:rsidR="00F46482">
        <w:rPr>
          <w:color w:val="000000"/>
        </w:rPr>
        <w:t xml:space="preserve">but </w:t>
      </w:r>
      <w:r w:rsidR="00693D88">
        <w:rPr>
          <w:color w:val="000000"/>
        </w:rPr>
        <w:t>not one-sided interventions.</w:t>
      </w:r>
    </w:p>
    <w:p w:rsidR="0032055E" w:rsidRDefault="00580B2C" w:rsidP="00CA1396">
      <w:pPr>
        <w:jc w:val="both"/>
      </w:pPr>
      <w:r>
        <w:t>I</w:t>
      </w:r>
      <w:r w:rsidR="00A1484C" w:rsidRPr="00FE105D">
        <w:t xml:space="preserve"> would</w:t>
      </w:r>
      <w:r w:rsidR="00280845">
        <w:t xml:space="preserve"> therefore</w:t>
      </w:r>
      <w:r w:rsidR="00F46482">
        <w:t xml:space="preserve"> appreciate discussing</w:t>
      </w:r>
      <w:r w:rsidR="00A1484C" w:rsidRPr="00FE105D">
        <w:t xml:space="preserve"> the </w:t>
      </w:r>
      <w:r w:rsidR="00F46482">
        <w:t xml:space="preserve">legacy </w:t>
      </w:r>
      <w:r w:rsidR="00A1484C" w:rsidRPr="00FE105D">
        <w:t>ques</w:t>
      </w:r>
      <w:r w:rsidR="0032055E">
        <w:t>tion with you</w:t>
      </w:r>
      <w:r w:rsidR="00F46482">
        <w:t>.</w:t>
      </w:r>
    </w:p>
    <w:p w:rsidR="00A1484C" w:rsidRPr="00FE105D" w:rsidRDefault="00A1484C" w:rsidP="00CA1396">
      <w:pPr>
        <w:jc w:val="both"/>
      </w:pPr>
      <w:r w:rsidRPr="00FE105D">
        <w:t>Regards </w:t>
      </w:r>
    </w:p>
    <w:p w:rsidR="00A1484C" w:rsidRDefault="00A1484C" w:rsidP="00CA1396">
      <w:pPr>
        <w:jc w:val="both"/>
      </w:pPr>
      <w:r w:rsidRPr="00FE105D">
        <w:t>Jeff Dudgeon (M</w:t>
      </w:r>
      <w:r w:rsidR="00483AA7">
        <w:t>alone House Group</w:t>
      </w:r>
      <w:r w:rsidRPr="00FE105D">
        <w:t xml:space="preserve"> Convenor)</w:t>
      </w:r>
    </w:p>
    <w:p w:rsidR="0003213C" w:rsidRDefault="0000764A" w:rsidP="00CA1396">
      <w:pPr>
        <w:jc w:val="both"/>
      </w:pPr>
      <w:r>
        <w:t>6 October 2021</w:t>
      </w:r>
    </w:p>
    <w:p w:rsidR="00280845" w:rsidRDefault="00280845" w:rsidP="00CA1396">
      <w:pPr>
        <w:jc w:val="both"/>
      </w:pPr>
    </w:p>
    <w:p w:rsidR="00280845" w:rsidRDefault="00280845" w:rsidP="00CA1396">
      <w:pPr>
        <w:jc w:val="both"/>
      </w:pPr>
    </w:p>
    <w:p w:rsidR="00280845" w:rsidRPr="00A1484C" w:rsidRDefault="00280845" w:rsidP="00CA1396">
      <w:pPr>
        <w:jc w:val="both"/>
      </w:pPr>
      <w:r w:rsidRPr="00280845">
        <w:t xml:space="preserve">*‘The Limitations of a Criminal Law Approach in a Transitional Justice Context' (chap 11, pages 243-244) by Brice Dickson; Laurens </w:t>
      </w:r>
      <w:proofErr w:type="spellStart"/>
      <w:r w:rsidRPr="00280845">
        <w:t>Lavrysen</w:t>
      </w:r>
      <w:proofErr w:type="spellEnd"/>
      <w:r w:rsidRPr="00280845">
        <w:t xml:space="preserve"> and </w:t>
      </w:r>
      <w:proofErr w:type="spellStart"/>
      <w:r w:rsidRPr="00280845">
        <w:t>Natasa</w:t>
      </w:r>
      <w:proofErr w:type="spellEnd"/>
      <w:r w:rsidRPr="00280845">
        <w:t xml:space="preserve"> </w:t>
      </w:r>
      <w:proofErr w:type="spellStart"/>
      <w:r w:rsidRPr="00280845">
        <w:t>Mavronicola</w:t>
      </w:r>
      <w:proofErr w:type="spellEnd"/>
      <w:r w:rsidRPr="00280845">
        <w:t xml:space="preserve"> (</w:t>
      </w:r>
      <w:proofErr w:type="gramStart"/>
      <w:r w:rsidRPr="00280845">
        <w:t>eds</w:t>
      </w:r>
      <w:proofErr w:type="gramEnd"/>
      <w:r w:rsidRPr="00280845">
        <w:t>), Coercive Human Rights: Positive Duties to Mobilise the Criminal Law under the ECHR (Oxford, Hart Publishing, 2020).</w:t>
      </w:r>
      <w:bookmarkStart w:id="0" w:name="_GoBack"/>
      <w:bookmarkEnd w:id="0"/>
    </w:p>
    <w:sectPr w:rsidR="00280845" w:rsidRPr="00A14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68" w:rsidRDefault="00C16968" w:rsidP="00353B98">
      <w:pPr>
        <w:spacing w:after="0" w:line="240" w:lineRule="auto"/>
      </w:pPr>
      <w:r>
        <w:separator/>
      </w:r>
    </w:p>
  </w:endnote>
  <w:endnote w:type="continuationSeparator" w:id="0">
    <w:p w:rsidR="00C16968" w:rsidRDefault="00C16968" w:rsidP="0035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68" w:rsidRDefault="00C16968" w:rsidP="00353B98">
      <w:pPr>
        <w:spacing w:after="0" w:line="240" w:lineRule="auto"/>
      </w:pPr>
      <w:r>
        <w:separator/>
      </w:r>
    </w:p>
  </w:footnote>
  <w:footnote w:type="continuationSeparator" w:id="0">
    <w:p w:rsidR="00C16968" w:rsidRDefault="00C16968" w:rsidP="0035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11FF0"/>
    <w:multiLevelType w:val="hybridMultilevel"/>
    <w:tmpl w:val="469E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A"/>
    <w:rsid w:val="0000764A"/>
    <w:rsid w:val="0003213C"/>
    <w:rsid w:val="00033950"/>
    <w:rsid w:val="0008511F"/>
    <w:rsid w:val="0009437A"/>
    <w:rsid w:val="000C0E60"/>
    <w:rsid w:val="00103216"/>
    <w:rsid w:val="00105322"/>
    <w:rsid w:val="00152BF0"/>
    <w:rsid w:val="00174EFC"/>
    <w:rsid w:val="001A30AA"/>
    <w:rsid w:val="001A3F99"/>
    <w:rsid w:val="001E5B2E"/>
    <w:rsid w:val="002163F3"/>
    <w:rsid w:val="002377AA"/>
    <w:rsid w:val="00280845"/>
    <w:rsid w:val="002C4127"/>
    <w:rsid w:val="002E6B53"/>
    <w:rsid w:val="002E78C4"/>
    <w:rsid w:val="0032055E"/>
    <w:rsid w:val="00332735"/>
    <w:rsid w:val="00333204"/>
    <w:rsid w:val="00353B98"/>
    <w:rsid w:val="003D6423"/>
    <w:rsid w:val="003E1DFD"/>
    <w:rsid w:val="00427E4D"/>
    <w:rsid w:val="00433366"/>
    <w:rsid w:val="00456535"/>
    <w:rsid w:val="00462429"/>
    <w:rsid w:val="00483AA7"/>
    <w:rsid w:val="004D52F1"/>
    <w:rsid w:val="0053025E"/>
    <w:rsid w:val="00531300"/>
    <w:rsid w:val="00537231"/>
    <w:rsid w:val="00546006"/>
    <w:rsid w:val="00580B2C"/>
    <w:rsid w:val="005F028C"/>
    <w:rsid w:val="005F0A4D"/>
    <w:rsid w:val="005F5C20"/>
    <w:rsid w:val="005F6F5E"/>
    <w:rsid w:val="006275C6"/>
    <w:rsid w:val="00635E54"/>
    <w:rsid w:val="00640FE2"/>
    <w:rsid w:val="00663269"/>
    <w:rsid w:val="00672D3A"/>
    <w:rsid w:val="0068591C"/>
    <w:rsid w:val="00693D88"/>
    <w:rsid w:val="006E7500"/>
    <w:rsid w:val="00705573"/>
    <w:rsid w:val="007212DB"/>
    <w:rsid w:val="00732A04"/>
    <w:rsid w:val="007531A1"/>
    <w:rsid w:val="00794CA2"/>
    <w:rsid w:val="007A2C0D"/>
    <w:rsid w:val="007B7C97"/>
    <w:rsid w:val="007E5F54"/>
    <w:rsid w:val="00883717"/>
    <w:rsid w:val="00895CB5"/>
    <w:rsid w:val="008A1EA6"/>
    <w:rsid w:val="008F1318"/>
    <w:rsid w:val="00915236"/>
    <w:rsid w:val="0094483C"/>
    <w:rsid w:val="00992C89"/>
    <w:rsid w:val="009E4262"/>
    <w:rsid w:val="009F5E7A"/>
    <w:rsid w:val="00A02F5C"/>
    <w:rsid w:val="00A137C2"/>
    <w:rsid w:val="00A1484C"/>
    <w:rsid w:val="00A16B1A"/>
    <w:rsid w:val="00A65B37"/>
    <w:rsid w:val="00A7784F"/>
    <w:rsid w:val="00BD4E00"/>
    <w:rsid w:val="00C022C6"/>
    <w:rsid w:val="00C16968"/>
    <w:rsid w:val="00C64783"/>
    <w:rsid w:val="00C8039C"/>
    <w:rsid w:val="00CA1396"/>
    <w:rsid w:val="00CE0DB3"/>
    <w:rsid w:val="00CE5B5C"/>
    <w:rsid w:val="00D9185E"/>
    <w:rsid w:val="00DC3DCE"/>
    <w:rsid w:val="00E40E20"/>
    <w:rsid w:val="00E70E65"/>
    <w:rsid w:val="00ED474C"/>
    <w:rsid w:val="00EF5A35"/>
    <w:rsid w:val="00F06C65"/>
    <w:rsid w:val="00F31239"/>
    <w:rsid w:val="00F46482"/>
    <w:rsid w:val="00F657CE"/>
    <w:rsid w:val="00FC1365"/>
    <w:rsid w:val="00FC1429"/>
    <w:rsid w:val="00FC376C"/>
    <w:rsid w:val="00FD06DA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3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3B9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3B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B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B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E750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5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3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3B9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3B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B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B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E750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5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11</cp:revision>
  <cp:lastPrinted>2021-10-06T18:21:00Z</cp:lastPrinted>
  <dcterms:created xsi:type="dcterms:W3CDTF">2021-10-06T18:44:00Z</dcterms:created>
  <dcterms:modified xsi:type="dcterms:W3CDTF">2021-10-14T14:24:00Z</dcterms:modified>
</cp:coreProperties>
</file>