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8F" w:rsidRDefault="00EB278F" w:rsidP="00A44CBF">
      <w:pPr>
        <w:pStyle w:val="NoSpacing"/>
        <w:jc w:val="center"/>
        <w:rPr>
          <w:b/>
        </w:rPr>
      </w:pPr>
      <w:r>
        <w:rPr>
          <w:b/>
        </w:rPr>
        <w:t xml:space="preserve">When </w:t>
      </w:r>
      <w:r w:rsidRPr="001D2D3B">
        <w:rPr>
          <w:b/>
        </w:rPr>
        <w:t>Warfare Turns to Lawfare</w:t>
      </w:r>
    </w:p>
    <w:p w:rsidR="00EB278F" w:rsidRDefault="00EB278F" w:rsidP="00A44CBF">
      <w:pPr>
        <w:pStyle w:val="NoSpacing"/>
        <w:jc w:val="center"/>
        <w:rPr>
          <w:b/>
        </w:rPr>
      </w:pPr>
      <w:r w:rsidRPr="001D2D3B">
        <w:rPr>
          <w:b/>
        </w:rPr>
        <w:t xml:space="preserve"> </w:t>
      </w:r>
    </w:p>
    <w:p w:rsidR="00A44CBF" w:rsidRDefault="00A166B9" w:rsidP="00A44CBF">
      <w:pPr>
        <w:pStyle w:val="NoSpacing"/>
        <w:jc w:val="center"/>
        <w:rPr>
          <w:b/>
        </w:rPr>
      </w:pPr>
      <w:r w:rsidRPr="001D2D3B">
        <w:rPr>
          <w:b/>
        </w:rPr>
        <w:t>Legacy</w:t>
      </w:r>
      <w:r>
        <w:rPr>
          <w:b/>
        </w:rPr>
        <w:t xml:space="preserve">: </w:t>
      </w:r>
      <w:r w:rsidR="00A44CBF" w:rsidRPr="001D2D3B">
        <w:rPr>
          <w:b/>
        </w:rPr>
        <w:t>The Future of Northern Ireland’s Past</w:t>
      </w:r>
    </w:p>
    <w:p w:rsidR="00F2177D" w:rsidRDefault="00F2177D" w:rsidP="00F2177D">
      <w:pPr>
        <w:pStyle w:val="NoSpacing"/>
        <w:jc w:val="center"/>
        <w:rPr>
          <w:b/>
        </w:rPr>
      </w:pPr>
    </w:p>
    <w:p w:rsidR="00961390" w:rsidRDefault="00961390" w:rsidP="00EF57C4">
      <w:pPr>
        <w:pStyle w:val="NoSpacing"/>
        <w:jc w:val="both"/>
        <w:rPr>
          <w:b/>
        </w:rPr>
      </w:pPr>
    </w:p>
    <w:p w:rsidR="00C00A9B" w:rsidRPr="00D7122C" w:rsidRDefault="00961390" w:rsidP="00F2177D">
      <w:pPr>
        <w:pStyle w:val="NoSpacing"/>
        <w:jc w:val="center"/>
        <w:rPr>
          <w:b/>
        </w:rPr>
      </w:pPr>
      <w:r w:rsidRPr="00D7122C">
        <w:rPr>
          <w:b/>
        </w:rPr>
        <w:t xml:space="preserve">By Jeffrey Dudgeon </w:t>
      </w:r>
    </w:p>
    <w:p w:rsidR="00961390" w:rsidRPr="00D7122C" w:rsidRDefault="00961390" w:rsidP="00F2177D">
      <w:pPr>
        <w:pStyle w:val="NoSpacing"/>
        <w:jc w:val="center"/>
        <w:rPr>
          <w:b/>
        </w:rPr>
      </w:pPr>
      <w:r w:rsidRPr="00D7122C">
        <w:rPr>
          <w:b/>
        </w:rPr>
        <w:t>Con</w:t>
      </w:r>
      <w:r w:rsidR="00CC534A" w:rsidRPr="00D7122C">
        <w:rPr>
          <w:b/>
        </w:rPr>
        <w:t>venor of the Malone House Group</w:t>
      </w:r>
    </w:p>
    <w:p w:rsidR="004727F8" w:rsidRDefault="004727F8" w:rsidP="00EF57C4">
      <w:pPr>
        <w:pStyle w:val="NoSpacing"/>
        <w:jc w:val="both"/>
      </w:pPr>
    </w:p>
    <w:p w:rsidR="00377768" w:rsidRPr="0012243A" w:rsidRDefault="0012243A" w:rsidP="00EF57C4">
      <w:pPr>
        <w:pStyle w:val="NoSpacing"/>
        <w:jc w:val="both"/>
        <w:rPr>
          <w:b/>
        </w:rPr>
      </w:pPr>
      <w:r w:rsidRPr="0012243A">
        <w:rPr>
          <w:b/>
        </w:rPr>
        <w:t>[Pre-edit]</w:t>
      </w:r>
    </w:p>
    <w:p w:rsidR="0012243A" w:rsidRDefault="0012243A" w:rsidP="00EF57C4">
      <w:pPr>
        <w:pStyle w:val="NoSpacing"/>
        <w:jc w:val="both"/>
      </w:pPr>
    </w:p>
    <w:p w:rsidR="008E75A6" w:rsidRDefault="00377768" w:rsidP="00D02268">
      <w:pPr>
        <w:pStyle w:val="NoSpacing"/>
        <w:ind w:firstLine="720"/>
        <w:jc w:val="both"/>
      </w:pPr>
      <w:r>
        <w:t>Legacy is as complex as our history</w:t>
      </w:r>
      <w:r w:rsidR="00450408">
        <w:t>. Indeed it is our history</w:t>
      </w:r>
      <w:r w:rsidR="00A02DD8">
        <w:t xml:space="preserve"> </w:t>
      </w:r>
      <w:r w:rsidR="008E75A6">
        <w:t xml:space="preserve">and </w:t>
      </w:r>
      <w:r w:rsidR="00A02DD8">
        <w:t>likely to be</w:t>
      </w:r>
      <w:r w:rsidR="003B2B42">
        <w:t xml:space="preserve"> </w:t>
      </w:r>
      <w:r w:rsidR="00A44CBF">
        <w:t>our</w:t>
      </w:r>
      <w:r w:rsidR="00D02268">
        <w:t xml:space="preserve"> </w:t>
      </w:r>
      <w:r w:rsidR="00A166B9">
        <w:t xml:space="preserve">future </w:t>
      </w:r>
      <w:r w:rsidR="000A26E5">
        <w:t>politics</w:t>
      </w:r>
      <w:r w:rsidR="00FD7CC5">
        <w:t>.</w:t>
      </w:r>
    </w:p>
    <w:p w:rsidR="00C10937" w:rsidRDefault="00A02DD8" w:rsidP="00D02268">
      <w:pPr>
        <w:pStyle w:val="NoSpacing"/>
        <w:ind w:firstLine="720"/>
        <w:jc w:val="both"/>
      </w:pPr>
      <w:r>
        <w:t>Since 1921</w:t>
      </w:r>
      <w:r w:rsidR="00A44CBF">
        <w:t>,</w:t>
      </w:r>
      <w:r>
        <w:t xml:space="preserve"> we have been obliged b</w:t>
      </w:r>
      <w:r w:rsidR="008E75A6">
        <w:t xml:space="preserve">y London to concentrate on </w:t>
      </w:r>
      <w:r w:rsidR="00A44CBF">
        <w:t xml:space="preserve">one issue, the </w:t>
      </w:r>
      <w:r>
        <w:t>ethnic problem of divided loyalties</w:t>
      </w:r>
      <w:r w:rsidR="00A166B9">
        <w:t xml:space="preserve"> in Northern Ireland</w:t>
      </w:r>
      <w:r>
        <w:t>.</w:t>
      </w:r>
      <w:r w:rsidR="00A44CBF">
        <w:t xml:space="preserve"> And ethnic disputes are never settled. They can go off the boil and </w:t>
      </w:r>
      <w:r w:rsidR="00C00A9B">
        <w:t xml:space="preserve">be </w:t>
      </w:r>
      <w:r w:rsidR="00A44CBF">
        <w:t xml:space="preserve">left to simmer. </w:t>
      </w:r>
      <w:r w:rsidR="006B661A">
        <w:t>But t</w:t>
      </w:r>
      <w:r w:rsidR="00A44CBF">
        <w:t xml:space="preserve">hey </w:t>
      </w:r>
      <w:r w:rsidR="00C00A9B">
        <w:t>are only</w:t>
      </w:r>
      <w:r w:rsidR="00A44CBF">
        <w:t xml:space="preserve"> soluble</w:t>
      </w:r>
      <w:r w:rsidR="006B661A">
        <w:t xml:space="preserve"> </w:t>
      </w:r>
      <w:r w:rsidR="00A44CBF">
        <w:t xml:space="preserve">by elimination </w:t>
      </w:r>
      <w:r w:rsidR="00C10937">
        <w:t>of a people or culture</w:t>
      </w:r>
      <w:r w:rsidR="006B661A">
        <w:t>,</w:t>
      </w:r>
      <w:r w:rsidR="00C10937">
        <w:t xml:space="preserve"> </w:t>
      </w:r>
      <w:r w:rsidR="00A44CBF">
        <w:t>as with the Anglo-Saxon</w:t>
      </w:r>
      <w:r w:rsidR="00C10937">
        <w:t xml:space="preserve">s </w:t>
      </w:r>
      <w:r w:rsidR="00943BEB">
        <w:t>or</w:t>
      </w:r>
      <w:r w:rsidR="00C10937">
        <w:t xml:space="preserve"> European Jewry</w:t>
      </w:r>
      <w:r w:rsidR="00A44CBF">
        <w:t xml:space="preserve">, population </w:t>
      </w:r>
      <w:r w:rsidR="00C10937">
        <w:t xml:space="preserve">removal and </w:t>
      </w:r>
      <w:r w:rsidR="00A44CBF">
        <w:t xml:space="preserve">exchanges as happened in </w:t>
      </w:r>
      <w:r w:rsidR="006B661A">
        <w:t xml:space="preserve">the 1920s in the Aegean or after </w:t>
      </w:r>
      <w:r w:rsidR="00A44CBF">
        <w:t>1945</w:t>
      </w:r>
      <w:r w:rsidR="006B661A">
        <w:t xml:space="preserve"> in Poland and Czechoslo</w:t>
      </w:r>
      <w:r w:rsidR="002C4988">
        <w:t>va</w:t>
      </w:r>
      <w:r w:rsidR="006B661A">
        <w:t>kia</w:t>
      </w:r>
      <w:r w:rsidR="00943BEB">
        <w:t>,</w:t>
      </w:r>
      <w:r w:rsidR="00C10937" w:rsidRPr="00C10937">
        <w:t xml:space="preserve"> </w:t>
      </w:r>
      <w:r w:rsidR="00C10937">
        <w:t xml:space="preserve">or </w:t>
      </w:r>
      <w:r w:rsidR="00A166B9">
        <w:t xml:space="preserve">over time </w:t>
      </w:r>
      <w:r w:rsidR="00C10937">
        <w:t>by intermarriage</w:t>
      </w:r>
      <w:r w:rsidR="00A44CBF">
        <w:t xml:space="preserve">. </w:t>
      </w:r>
      <w:r w:rsidR="00A166B9">
        <w:t>Economic change also plays its part</w:t>
      </w:r>
      <w:r w:rsidR="006B661A">
        <w:t>,</w:t>
      </w:r>
      <w:r w:rsidR="00A166B9">
        <w:t xml:space="preserve"> as </w:t>
      </w:r>
      <w:r w:rsidR="00943BEB">
        <w:t>has</w:t>
      </w:r>
      <w:r w:rsidR="00A166B9">
        <w:t xml:space="preserve"> empire and now globalisation</w:t>
      </w:r>
    </w:p>
    <w:p w:rsidR="008E75A6" w:rsidRDefault="00377768" w:rsidP="002C4988">
      <w:pPr>
        <w:pStyle w:val="NoSpacing"/>
        <w:ind w:firstLine="720"/>
        <w:jc w:val="both"/>
      </w:pPr>
      <w:r>
        <w:t>The history of legacy</w:t>
      </w:r>
      <w:r w:rsidR="00263A2F">
        <w:t>,</w:t>
      </w:r>
      <w:r>
        <w:t xml:space="preserve"> </w:t>
      </w:r>
      <w:r w:rsidR="00263A2F">
        <w:t xml:space="preserve">particularly since the Belfast Agreement </w:t>
      </w:r>
      <w:r w:rsidR="006B661A">
        <w:t>of</w:t>
      </w:r>
      <w:r w:rsidR="00263A2F">
        <w:t xml:space="preserve"> 1998</w:t>
      </w:r>
      <w:r w:rsidR="00A02DD8">
        <w:t>,</w:t>
      </w:r>
      <w:r w:rsidR="00263A2F">
        <w:t xml:space="preserve"> </w:t>
      </w:r>
      <w:r w:rsidR="007324E4">
        <w:t xml:space="preserve">would </w:t>
      </w:r>
      <w:r>
        <w:t>require a book in itself</w:t>
      </w:r>
      <w:r w:rsidR="00263A2F">
        <w:t>.</w:t>
      </w:r>
      <w:r w:rsidR="00450408">
        <w:t xml:space="preserve"> </w:t>
      </w:r>
      <w:r w:rsidR="00263A2F">
        <w:t>I can only</w:t>
      </w:r>
      <w:r>
        <w:t xml:space="preserve"> deal </w:t>
      </w:r>
      <w:r w:rsidR="00450408">
        <w:t xml:space="preserve">here </w:t>
      </w:r>
      <w:r w:rsidR="00DC5766">
        <w:t xml:space="preserve">with </w:t>
      </w:r>
      <w:r w:rsidR="003B2B42">
        <w:t>some</w:t>
      </w:r>
      <w:r w:rsidR="00DC5766">
        <w:t xml:space="preserve"> </w:t>
      </w:r>
      <w:r>
        <w:t>political outcomes</w:t>
      </w:r>
      <w:r w:rsidR="00263A2F">
        <w:t xml:space="preserve"> </w:t>
      </w:r>
      <w:r w:rsidR="007324E4">
        <w:t xml:space="preserve">of </w:t>
      </w:r>
      <w:r w:rsidR="00DC5766">
        <w:t xml:space="preserve">the last </w:t>
      </w:r>
      <w:r w:rsidR="007324E4">
        <w:t xml:space="preserve">25 years </w:t>
      </w:r>
      <w:r w:rsidR="00DC5766">
        <w:t xml:space="preserve">of </w:t>
      </w:r>
      <w:r w:rsidR="00D40AC0">
        <w:t xml:space="preserve">governmental </w:t>
      </w:r>
      <w:r w:rsidR="00DC5766">
        <w:t>proposals</w:t>
      </w:r>
      <w:r w:rsidR="006B661A">
        <w:t>,</w:t>
      </w:r>
      <w:r w:rsidR="00DC5766">
        <w:t xml:space="preserve"> and </w:t>
      </w:r>
      <w:r w:rsidR="00D40AC0">
        <w:t xml:space="preserve">the </w:t>
      </w:r>
      <w:r w:rsidR="00DC5766">
        <w:t xml:space="preserve">current state of play </w:t>
      </w:r>
      <w:r w:rsidR="00263A2F">
        <w:t>in what is a rapidly changing</w:t>
      </w:r>
      <w:r w:rsidR="008E75A6">
        <w:t xml:space="preserve"> </w:t>
      </w:r>
      <w:r w:rsidR="002C4988">
        <w:t xml:space="preserve">elongated </w:t>
      </w:r>
      <w:r w:rsidR="00C10937">
        <w:t>process</w:t>
      </w:r>
      <w:r>
        <w:t>.</w:t>
      </w:r>
      <w:r w:rsidR="008E75A6">
        <w:t xml:space="preserve"> </w:t>
      </w:r>
    </w:p>
    <w:p w:rsidR="001F383F" w:rsidRDefault="008E75A6" w:rsidP="00D02268">
      <w:pPr>
        <w:pStyle w:val="NoSpacing"/>
        <w:ind w:firstLine="720"/>
        <w:jc w:val="both"/>
      </w:pPr>
      <w:r>
        <w:t xml:space="preserve">Given </w:t>
      </w:r>
      <w:r w:rsidR="00943BEB">
        <w:t>deaths from fifty years ago are being</w:t>
      </w:r>
      <w:r>
        <w:t xml:space="preserve"> </w:t>
      </w:r>
      <w:proofErr w:type="gramStart"/>
      <w:r>
        <w:t>excavat</w:t>
      </w:r>
      <w:r w:rsidR="00943BEB">
        <w:t>ed</w:t>
      </w:r>
      <w:r>
        <w:t>,</w:t>
      </w:r>
      <w:proofErr w:type="gramEnd"/>
      <w:r>
        <w:t xml:space="preserve"> it seems we have at least another fifty years to go</w:t>
      </w:r>
      <w:r w:rsidR="00A44CBF">
        <w:t xml:space="preserve">. </w:t>
      </w:r>
      <w:r w:rsidR="00943BEB">
        <w:t>Simon Hoare MP, t</w:t>
      </w:r>
      <w:r w:rsidR="00A44CBF">
        <w:t xml:space="preserve">he chairman of the Northern Ireland Affairs Committee </w:t>
      </w:r>
      <w:r w:rsidR="00943BEB">
        <w:t xml:space="preserve">at Westminster </w:t>
      </w:r>
      <w:r w:rsidR="00C00A9B">
        <w:t>(NIAC)</w:t>
      </w:r>
      <w:r w:rsidR="00C10937">
        <w:t>, spoke</w:t>
      </w:r>
      <w:r w:rsidR="00A44CBF">
        <w:t xml:space="preserve"> </w:t>
      </w:r>
      <w:r w:rsidR="00C10937">
        <w:t>recently</w:t>
      </w:r>
      <w:r w:rsidR="00A44CBF">
        <w:t xml:space="preserve"> o</w:t>
      </w:r>
      <w:r w:rsidR="00C10937">
        <w:t>f two more decade</w:t>
      </w:r>
      <w:r w:rsidR="00A44CBF">
        <w:t>s.</w:t>
      </w:r>
      <w:r w:rsidR="00C10937">
        <w:t xml:space="preserve"> A</w:t>
      </w:r>
      <w:r w:rsidR="00A44CBF">
        <w:t>t the first meeting of the Malone House Group</w:t>
      </w:r>
      <w:r w:rsidR="00C10937" w:rsidRPr="00C10937">
        <w:t xml:space="preserve"> </w:t>
      </w:r>
      <w:r w:rsidR="00C10937">
        <w:t>in 2018, I suggested 500 years</w:t>
      </w:r>
      <w:r w:rsidR="00A44CBF">
        <w:t xml:space="preserve">. </w:t>
      </w:r>
      <w:r>
        <w:t xml:space="preserve">The European Court of Human Rights </w:t>
      </w:r>
      <w:r w:rsidR="00FD7CC5">
        <w:t>(</w:t>
      </w:r>
      <w:r w:rsidR="005137CF">
        <w:t>ECtHR</w:t>
      </w:r>
      <w:r w:rsidR="00FD7CC5">
        <w:t xml:space="preserve">) </w:t>
      </w:r>
      <w:r w:rsidR="004F1692">
        <w:t xml:space="preserve">at Strasbourg </w:t>
      </w:r>
      <w:r>
        <w:t xml:space="preserve">has </w:t>
      </w:r>
      <w:r w:rsidR="00C10937">
        <w:t xml:space="preserve">however </w:t>
      </w:r>
      <w:r>
        <w:t xml:space="preserve">drawn the line at 75 years when it rejected an application for breach of Article 2, the right to life, in relation to the Katyn Forest massacre </w:t>
      </w:r>
      <w:r w:rsidR="00943BEB">
        <w:t>of</w:t>
      </w:r>
      <w:r>
        <w:t xml:space="preserve"> May 1940. This concerned the murder of 22,000 Polish army officers and intelligentsia by the Soviet Union</w:t>
      </w:r>
      <w:r w:rsidR="00A44CBF">
        <w:t>’s</w:t>
      </w:r>
      <w:r>
        <w:t xml:space="preserve"> successor state Russia.</w:t>
      </w:r>
    </w:p>
    <w:p w:rsidR="006D592D" w:rsidRDefault="00A02DD8" w:rsidP="00A44CBF">
      <w:pPr>
        <w:pStyle w:val="NoSpacing"/>
        <w:ind w:firstLine="720"/>
        <w:jc w:val="both"/>
      </w:pPr>
      <w:r>
        <w:t xml:space="preserve">Some </w:t>
      </w:r>
      <w:r w:rsidR="006D592D">
        <w:t xml:space="preserve">legacy </w:t>
      </w:r>
      <w:r>
        <w:t>questions are almost unanswerable</w:t>
      </w:r>
      <w:r w:rsidR="008E75A6">
        <w:t>,</w:t>
      </w:r>
      <w:r>
        <w:t xml:space="preserve"> </w:t>
      </w:r>
      <w:r w:rsidR="006D592D">
        <w:t xml:space="preserve">or </w:t>
      </w:r>
      <w:r w:rsidR="008E75A6">
        <w:t xml:space="preserve">appear </w:t>
      </w:r>
      <w:r w:rsidR="006D592D">
        <w:t>unaddressable</w:t>
      </w:r>
      <w:r w:rsidR="008E75A6">
        <w:t>,</w:t>
      </w:r>
      <w:r w:rsidR="006D592D">
        <w:t xml:space="preserve"> </w:t>
      </w:r>
      <w:r>
        <w:t>given the incredibl</w:t>
      </w:r>
      <w:r w:rsidR="006D592D">
        <w:t>y</w:t>
      </w:r>
      <w:r>
        <w:t xml:space="preserve"> tortuous nature of the path we have gone down since 1998. </w:t>
      </w:r>
      <w:r w:rsidR="00FD7CC5">
        <w:t xml:space="preserve">UK </w:t>
      </w:r>
      <w:r>
        <w:t>Governme</w:t>
      </w:r>
      <w:r w:rsidR="00A44CBF">
        <w:t xml:space="preserve">nts are trammelled by a </w:t>
      </w:r>
      <w:r>
        <w:t xml:space="preserve">mound of commitments and obligations </w:t>
      </w:r>
      <w:r w:rsidR="008E75A6">
        <w:t xml:space="preserve">that </w:t>
      </w:r>
      <w:r>
        <w:t xml:space="preserve">they have in many cases brought upon </w:t>
      </w:r>
      <w:proofErr w:type="gramStart"/>
      <w:r>
        <w:t>themselves</w:t>
      </w:r>
      <w:proofErr w:type="gramEnd"/>
      <w:r>
        <w:t>. External forces</w:t>
      </w:r>
      <w:r w:rsidR="006D592D">
        <w:t>,</w:t>
      </w:r>
      <w:r>
        <w:t xml:space="preserve"> not least the Dublin Government and Strasbourg have gone unchallenged </w:t>
      </w:r>
      <w:r w:rsidR="00BE740F">
        <w:t xml:space="preserve">by the Foreign Office </w:t>
      </w:r>
      <w:r w:rsidR="002C4988">
        <w:t>at the Council of Europe</w:t>
      </w:r>
      <w:r w:rsidR="006B661A">
        <w:t xml:space="preserve">. </w:t>
      </w:r>
      <w:r w:rsidR="005A2B1C">
        <w:t>A</w:t>
      </w:r>
      <w:r w:rsidR="00C10937">
        <w:t>mbassadors</w:t>
      </w:r>
      <w:r w:rsidR="00A44CBF">
        <w:t xml:space="preserve"> </w:t>
      </w:r>
      <w:r w:rsidR="00C10937">
        <w:t xml:space="preserve">instead </w:t>
      </w:r>
      <w:r w:rsidR="006D592D">
        <w:t>favour</w:t>
      </w:r>
      <w:r w:rsidR="008E75A6">
        <w:t xml:space="preserve"> the</w:t>
      </w:r>
      <w:r w:rsidR="006D592D">
        <w:t xml:space="preserve"> global</w:t>
      </w:r>
      <w:r w:rsidR="008E75A6">
        <w:t>ist</w:t>
      </w:r>
      <w:r w:rsidR="006D592D">
        <w:t xml:space="preserve"> option</w:t>
      </w:r>
      <w:r w:rsidR="008E75A6">
        <w:t xml:space="preserve"> </w:t>
      </w:r>
      <w:r w:rsidR="006B661A">
        <w:t>of</w:t>
      </w:r>
      <w:r w:rsidR="008E75A6">
        <w:t xml:space="preserve"> cosying up to our neighbours</w:t>
      </w:r>
      <w:r w:rsidR="006B661A">
        <w:t xml:space="preserve"> and bien pensant opinion</w:t>
      </w:r>
      <w:r w:rsidR="005A2B1C">
        <w:t xml:space="preserve">. They </w:t>
      </w:r>
      <w:r w:rsidR="00A44CBF">
        <w:t>revel</w:t>
      </w:r>
      <w:r>
        <w:t xml:space="preserve"> in accepting the liberal consensus </w:t>
      </w:r>
      <w:r w:rsidR="006D592D">
        <w:t xml:space="preserve">that </w:t>
      </w:r>
      <w:r>
        <w:t xml:space="preserve">makes </w:t>
      </w:r>
      <w:r w:rsidR="008E75A6">
        <w:t xml:space="preserve">an </w:t>
      </w:r>
      <w:r w:rsidR="006D592D">
        <w:t xml:space="preserve">independent </w:t>
      </w:r>
      <w:r w:rsidR="00C10937">
        <w:t xml:space="preserve">British </w:t>
      </w:r>
      <w:r w:rsidR="005A2B1C">
        <w:t xml:space="preserve">foreign </w:t>
      </w:r>
      <w:r>
        <w:t xml:space="preserve">policy impossible. </w:t>
      </w:r>
    </w:p>
    <w:p w:rsidR="00FD7CC5" w:rsidRDefault="00A02DD8" w:rsidP="00D02268">
      <w:pPr>
        <w:pStyle w:val="NoSpacing"/>
        <w:ind w:firstLine="720"/>
        <w:jc w:val="both"/>
      </w:pPr>
      <w:r>
        <w:t xml:space="preserve">Gordian knots </w:t>
      </w:r>
      <w:r w:rsidR="008E75A6">
        <w:t xml:space="preserve">therefore </w:t>
      </w:r>
      <w:r>
        <w:t>abound</w:t>
      </w:r>
      <w:r w:rsidR="00A44CBF">
        <w:t>,</w:t>
      </w:r>
      <w:r>
        <w:t xml:space="preserve"> but Brexit has proved they can be cut. Ireland however has a peculiar relationship</w:t>
      </w:r>
      <w:r w:rsidR="00C10937">
        <w:t>,</w:t>
      </w:r>
      <w:r w:rsidR="005A2B1C">
        <w:t xml:space="preserve"> particularly with the English</w:t>
      </w:r>
      <w:r w:rsidR="00C10937">
        <w:t>,</w:t>
      </w:r>
      <w:r w:rsidR="005A2B1C">
        <w:t xml:space="preserve"> </w:t>
      </w:r>
      <w:r>
        <w:t>who</w:t>
      </w:r>
      <w:r w:rsidR="00FD7CC5">
        <w:t>,</w:t>
      </w:r>
      <w:r>
        <w:t xml:space="preserve"> </w:t>
      </w:r>
      <w:r w:rsidR="006D592D">
        <w:t>being unhistorical</w:t>
      </w:r>
      <w:r w:rsidR="00FD7CC5">
        <w:t>,</w:t>
      </w:r>
      <w:r w:rsidR="006D592D">
        <w:t xml:space="preserve"> </w:t>
      </w:r>
      <w:r>
        <w:t>can</w:t>
      </w:r>
      <w:r w:rsidR="006B661A">
        <w:t>not</w:t>
      </w:r>
      <w:r w:rsidR="006D592D">
        <w:t xml:space="preserve"> </w:t>
      </w:r>
      <w:r>
        <w:t xml:space="preserve">grasp the </w:t>
      </w:r>
      <w:r w:rsidR="00A44CBF">
        <w:t xml:space="preserve">Irish </w:t>
      </w:r>
      <w:r>
        <w:t>Free State ever left the UK and who thus believe the Irish are still British</w:t>
      </w:r>
      <w:r w:rsidR="00FD7CC5">
        <w:t>.</w:t>
      </w:r>
      <w:r>
        <w:t xml:space="preserve"> </w:t>
      </w:r>
      <w:r w:rsidR="00FD7CC5">
        <w:t xml:space="preserve">They may be </w:t>
      </w:r>
      <w:r w:rsidR="00C10937">
        <w:t xml:space="preserve">thought </w:t>
      </w:r>
      <w:r w:rsidR="00FD7CC5">
        <w:t>t</w:t>
      </w:r>
      <w:r>
        <w:t>iresome</w:t>
      </w:r>
      <w:r w:rsidR="00FD7CC5">
        <w:t xml:space="preserve"> but the</w:t>
      </w:r>
      <w:r w:rsidR="006D592D">
        <w:t xml:space="preserve">y </w:t>
      </w:r>
      <w:r w:rsidR="002D323E">
        <w:t xml:space="preserve">do </w:t>
      </w:r>
      <w:r w:rsidR="006D592D">
        <w:t>speak English.</w:t>
      </w:r>
      <w:r w:rsidR="00112391">
        <w:t xml:space="preserve"> </w:t>
      </w:r>
    </w:p>
    <w:p w:rsidR="00FD7CC5" w:rsidRDefault="00112391" w:rsidP="00D02268">
      <w:pPr>
        <w:pStyle w:val="NoSpacing"/>
        <w:ind w:firstLine="720"/>
        <w:jc w:val="both"/>
      </w:pPr>
      <w:r>
        <w:t xml:space="preserve">What is true is that </w:t>
      </w:r>
      <w:r w:rsidR="00FD7CC5">
        <w:t>by virtue of</w:t>
      </w:r>
      <w:r>
        <w:t xml:space="preserve"> th</w:t>
      </w:r>
      <w:r w:rsidR="00A02DD8">
        <w:t xml:space="preserve">e many </w:t>
      </w:r>
      <w:r>
        <w:t>millions</w:t>
      </w:r>
      <w:r w:rsidR="00A02DD8">
        <w:t xml:space="preserve"> of Irish </w:t>
      </w:r>
      <w:r w:rsidR="00A44CBF">
        <w:t xml:space="preserve">people </w:t>
      </w:r>
      <w:r w:rsidR="00C10937">
        <w:t xml:space="preserve">(and their descendants) </w:t>
      </w:r>
      <w:r w:rsidR="00A02DD8">
        <w:t xml:space="preserve">who have left for Britain over two </w:t>
      </w:r>
      <w:r>
        <w:t>centuries</w:t>
      </w:r>
      <w:r w:rsidR="00C10937">
        <w:t>,</w:t>
      </w:r>
      <w:r>
        <w:t xml:space="preserve"> England has been distinctly </w:t>
      </w:r>
      <w:r w:rsidR="00FE7D4B">
        <w:t>h</w:t>
      </w:r>
      <w:r>
        <w:t xml:space="preserve">ibernicised. </w:t>
      </w:r>
      <w:proofErr w:type="gramStart"/>
      <w:r>
        <w:t xml:space="preserve">But that </w:t>
      </w:r>
      <w:r w:rsidR="00FD7CC5">
        <w:t xml:space="preserve">fact </w:t>
      </w:r>
      <w:r>
        <w:t xml:space="preserve">is </w:t>
      </w:r>
      <w:r w:rsidR="002D323E">
        <w:t xml:space="preserve">silent </w:t>
      </w:r>
      <w:r w:rsidR="00FD7CC5">
        <w:t xml:space="preserve">politically </w:t>
      </w:r>
      <w:r>
        <w:t>for the simple reason that the Irish</w:t>
      </w:r>
      <w:r w:rsidR="00FD7CC5">
        <w:t>, and even more so the Ulster migrants,</w:t>
      </w:r>
      <w:r>
        <w:t xml:space="preserve"> have integrated</w:t>
      </w:r>
      <w:r w:rsidR="00FE7D4B">
        <w:t>,</w:t>
      </w:r>
      <w:r w:rsidR="006D592D">
        <w:t xml:space="preserve"> and </w:t>
      </w:r>
      <w:r w:rsidR="00FD7CC5">
        <w:t xml:space="preserve">mostly </w:t>
      </w:r>
      <w:r w:rsidR="006D592D">
        <w:t>prospered</w:t>
      </w:r>
      <w:r>
        <w:t>.</w:t>
      </w:r>
      <w:proofErr w:type="gramEnd"/>
      <w:r w:rsidR="00FD7CC5">
        <w:t xml:space="preserve"> </w:t>
      </w:r>
      <w:r w:rsidR="00C10937">
        <w:t>You do not have an Irish British minority.</w:t>
      </w:r>
      <w:r w:rsidR="002D323E">
        <w:t xml:space="preserve"> Perhaps you could not without a</w:t>
      </w:r>
      <w:r w:rsidR="006B661A">
        <w:t xml:space="preserve"> serious</w:t>
      </w:r>
      <w:r w:rsidR="002D323E">
        <w:t xml:space="preserve"> internal conflict</w:t>
      </w:r>
      <w:r w:rsidR="00BE740F">
        <w:t>,</w:t>
      </w:r>
      <w:r w:rsidR="002D323E">
        <w:t xml:space="preserve"> some</w:t>
      </w:r>
      <w:r w:rsidR="006B661A">
        <w:t>thing</w:t>
      </w:r>
      <w:r w:rsidR="002D323E">
        <w:t xml:space="preserve"> present in Scotland but no longer in Liverpool.</w:t>
      </w:r>
    </w:p>
    <w:p w:rsidR="00FD7CC5" w:rsidRDefault="00FD7CC5" w:rsidP="00D02268">
      <w:pPr>
        <w:pStyle w:val="NoSpacing"/>
        <w:ind w:firstLine="720"/>
        <w:jc w:val="both"/>
      </w:pPr>
      <w:r>
        <w:lastRenderedPageBreak/>
        <w:t>This is exemplified in the current crop of Labour MPs (and trade union bosses)</w:t>
      </w:r>
      <w:r w:rsidR="00C10937">
        <w:t>,</w:t>
      </w:r>
      <w:r w:rsidR="002D323E">
        <w:t xml:space="preserve"> but also </w:t>
      </w:r>
      <w:r w:rsidR="006B661A">
        <w:t xml:space="preserve">with </w:t>
      </w:r>
      <w:r w:rsidR="002D323E">
        <w:t>Conservative</w:t>
      </w:r>
      <w:r w:rsidR="00A55ADD">
        <w:t xml:space="preserve"> </w:t>
      </w:r>
      <w:r w:rsidR="002D323E">
        <w:t>MPs</w:t>
      </w:r>
      <w:r w:rsidR="00C10937">
        <w:t>,</w:t>
      </w:r>
      <w:r>
        <w:t xml:space="preserve"> whose names suggest Irish origins. It remains amazing</w:t>
      </w:r>
      <w:r w:rsidR="00C10937">
        <w:t>,</w:t>
      </w:r>
      <w:r>
        <w:t xml:space="preserve"> if unremarked</w:t>
      </w:r>
      <w:r w:rsidR="00C10937">
        <w:t>,</w:t>
      </w:r>
      <w:r>
        <w:t xml:space="preserve"> that the Troops </w:t>
      </w:r>
      <w:proofErr w:type="gramStart"/>
      <w:r>
        <w:t>Out</w:t>
      </w:r>
      <w:proofErr w:type="gramEnd"/>
      <w:r>
        <w:t xml:space="preserve"> </w:t>
      </w:r>
      <w:r w:rsidR="00FE7D4B">
        <w:t>M</w:t>
      </w:r>
      <w:r>
        <w:t>ovement previously, and current efforts by Dublin intellectuals and commentators to drive a wedge between Norther</w:t>
      </w:r>
      <w:r w:rsidR="00C10937">
        <w:t xml:space="preserve">n Ireland and the mainland </w:t>
      </w:r>
      <w:r w:rsidR="002D323E">
        <w:t xml:space="preserve">have </w:t>
      </w:r>
      <w:r>
        <w:t xml:space="preserve">come to nothing. </w:t>
      </w:r>
    </w:p>
    <w:p w:rsidR="00A02DD8" w:rsidRDefault="00FD7CC5" w:rsidP="00D02268">
      <w:pPr>
        <w:pStyle w:val="NoSpacing"/>
        <w:ind w:firstLine="720"/>
        <w:jc w:val="both"/>
      </w:pPr>
      <w:r>
        <w:t>Britain has expended a vast amount of blood and treasure on the Union since 1969</w:t>
      </w:r>
      <w:r w:rsidR="00FE7D4B">
        <w:t>,</w:t>
      </w:r>
      <w:r>
        <w:t xml:space="preserve"> including 700 murdered soldiers</w:t>
      </w:r>
      <w:r w:rsidR="00FE7D4B">
        <w:t>,</w:t>
      </w:r>
      <w:r>
        <w:t xml:space="preserve"> many from the north of England. That willingness shows no sign of abating despite oft-</w:t>
      </w:r>
      <w:r w:rsidR="00FE7D4B">
        <w:t>repeated</w:t>
      </w:r>
      <w:r>
        <w:t xml:space="preserve"> remarks </w:t>
      </w:r>
      <w:r w:rsidR="00FE7D4B">
        <w:t>in the media about patience being exhausted</w:t>
      </w:r>
      <w:r w:rsidR="00C10937">
        <w:t>,</w:t>
      </w:r>
      <w:r w:rsidR="00FE7D4B">
        <w:t xml:space="preserve"> not least from little Englanders</w:t>
      </w:r>
      <w:r>
        <w:t xml:space="preserve">. Countries </w:t>
      </w:r>
      <w:r w:rsidR="00FE7D4B">
        <w:t xml:space="preserve">however </w:t>
      </w:r>
      <w:r>
        <w:t xml:space="preserve">rarely delight in their </w:t>
      </w:r>
      <w:r w:rsidR="00B62AF0">
        <w:t xml:space="preserve">own </w:t>
      </w:r>
      <w:r>
        <w:t>dismemberment.</w:t>
      </w:r>
    </w:p>
    <w:p w:rsidR="00B62AF0" w:rsidRDefault="00DC5766" w:rsidP="00D02268">
      <w:pPr>
        <w:pStyle w:val="NoSpacing"/>
        <w:ind w:firstLine="720"/>
        <w:jc w:val="both"/>
      </w:pPr>
      <w:bookmarkStart w:id="0" w:name="_GoBack"/>
      <w:r>
        <w:t>In 1998</w:t>
      </w:r>
      <w:r w:rsidR="00D40AC0">
        <w:t>,</w:t>
      </w:r>
      <w:r>
        <w:t xml:space="preserve"> the Belfast Agreement did away with the RUC and released all</w:t>
      </w:r>
      <w:r w:rsidR="004710D7">
        <w:t xml:space="preserve"> </w:t>
      </w:r>
      <w:r>
        <w:t>paramilitary prisoners who had served two years</w:t>
      </w:r>
      <w:r w:rsidR="00D40AC0">
        <w:t xml:space="preserve"> in jail</w:t>
      </w:r>
      <w:r>
        <w:t xml:space="preserve">. </w:t>
      </w:r>
      <w:r w:rsidR="00943BEB">
        <w:t xml:space="preserve">This was a police force that experienced 300 dead (the equivalent in GB terms of 10,000 officers killed). </w:t>
      </w:r>
      <w:r>
        <w:t xml:space="preserve">Otherwise </w:t>
      </w:r>
      <w:r w:rsidR="00943BEB">
        <w:t>the Agreement</w:t>
      </w:r>
      <w:r>
        <w:t xml:space="preserve"> kept away from the past</w:t>
      </w:r>
      <w:r w:rsidR="00FD7CC5">
        <w:t xml:space="preserve">, something many now regret </w:t>
      </w:r>
      <w:r w:rsidR="001E0913">
        <w:t>and some</w:t>
      </w:r>
      <w:r w:rsidR="00FD7CC5">
        <w:t xml:space="preserve"> are trying to correct</w:t>
      </w:r>
      <w:r w:rsidR="00D40AC0">
        <w:t>. The</w:t>
      </w:r>
      <w:r>
        <w:t xml:space="preserve"> </w:t>
      </w:r>
      <w:r w:rsidR="00FD7CC5">
        <w:t xml:space="preserve">prisoner </w:t>
      </w:r>
      <w:r>
        <w:t xml:space="preserve">releases </w:t>
      </w:r>
      <w:r w:rsidR="001E0913">
        <w:t>did</w:t>
      </w:r>
      <w:r w:rsidR="00D40AC0">
        <w:t xml:space="preserve"> </w:t>
      </w:r>
      <w:r>
        <w:t>constitute a</w:t>
      </w:r>
      <w:r w:rsidR="00D02268">
        <w:t xml:space="preserve"> </w:t>
      </w:r>
      <w:r w:rsidR="001E0913">
        <w:t xml:space="preserve">significant </w:t>
      </w:r>
      <w:r w:rsidR="00BE740F">
        <w:t>element of</w:t>
      </w:r>
      <w:r>
        <w:t xml:space="preserve"> amnesty</w:t>
      </w:r>
      <w:r w:rsidR="00D40AC0">
        <w:t>, one</w:t>
      </w:r>
      <w:r>
        <w:t xml:space="preserve"> that did not disturb </w:t>
      </w:r>
      <w:r w:rsidR="00D02268">
        <w:t>the E</w:t>
      </w:r>
      <w:r w:rsidR="004F1692">
        <w:t>CtHR</w:t>
      </w:r>
      <w:r>
        <w:t xml:space="preserve"> despite the degree of impunity</w:t>
      </w:r>
      <w:r w:rsidR="00FE7D4B">
        <w:t xml:space="preserve"> </w:t>
      </w:r>
      <w:r>
        <w:t xml:space="preserve">involved. </w:t>
      </w:r>
    </w:p>
    <w:p w:rsidR="00DC5766" w:rsidRDefault="00DC5766" w:rsidP="00D02268">
      <w:pPr>
        <w:pStyle w:val="NoSpacing"/>
        <w:ind w:firstLine="720"/>
        <w:jc w:val="both"/>
      </w:pPr>
      <w:r>
        <w:t xml:space="preserve">It was effectively two thirds of </w:t>
      </w:r>
      <w:r w:rsidR="00FE7D4B">
        <w:t>an amnesty</w:t>
      </w:r>
      <w:r w:rsidR="004710D7">
        <w:t xml:space="preserve"> while l</w:t>
      </w:r>
      <w:r w:rsidR="00D40AC0">
        <w:t xml:space="preserve">ater concessions </w:t>
      </w:r>
      <w:r w:rsidR="00BE740F">
        <w:t xml:space="preserve">have </w:t>
      </w:r>
      <w:r w:rsidR="004710D7">
        <w:t>brought that figure up to 9</w:t>
      </w:r>
      <w:r w:rsidR="002C4988">
        <w:t>0</w:t>
      </w:r>
      <w:r w:rsidR="004710D7">
        <w:t xml:space="preserve">%. </w:t>
      </w:r>
      <w:r w:rsidR="00FE7D4B">
        <w:t>Th</w:t>
      </w:r>
      <w:r w:rsidR="00B62AF0">
        <w:t>e</w:t>
      </w:r>
      <w:r w:rsidR="00FE7D4B">
        <w:t xml:space="preserve">se included the On-the-Run (OTR) letters of comfort for </w:t>
      </w:r>
      <w:r w:rsidR="00B62AF0">
        <w:t xml:space="preserve">hundreds in </w:t>
      </w:r>
      <w:r w:rsidR="00FE7D4B">
        <w:t>t</w:t>
      </w:r>
      <w:r w:rsidR="002C4988">
        <w:t xml:space="preserve">he IRA, </w:t>
      </w:r>
      <w:r w:rsidR="002D323E">
        <w:t xml:space="preserve">an </w:t>
      </w:r>
      <w:r w:rsidR="00BE740F">
        <w:t>‘</w:t>
      </w:r>
      <w:r w:rsidR="00FE7D4B">
        <w:t>amnesty</w:t>
      </w:r>
      <w:r w:rsidR="00BE740F">
        <w:t>’</w:t>
      </w:r>
      <w:r w:rsidR="00FE7D4B">
        <w:t xml:space="preserve">, as </w:t>
      </w:r>
      <w:r w:rsidR="00BE740F">
        <w:t>described</w:t>
      </w:r>
      <w:r w:rsidR="00FE7D4B">
        <w:t xml:space="preserve"> in the legislation, in relation to the use of forensic evidence on decommissioned weapons and the bodies of </w:t>
      </w:r>
      <w:r w:rsidR="00B62AF0">
        <w:t xml:space="preserve">the </w:t>
      </w:r>
      <w:r w:rsidR="00FE7D4B">
        <w:t xml:space="preserve">disappeared (if discovered), </w:t>
      </w:r>
      <w:r w:rsidR="006B661A">
        <w:t>the Royal Prerogative of Mercy pardons like that for Gerry Kelly</w:t>
      </w:r>
      <w:r w:rsidR="00BE740F">
        <w:t>,</w:t>
      </w:r>
      <w:r w:rsidR="006B661A">
        <w:t xml:space="preserve"> </w:t>
      </w:r>
      <w:r w:rsidR="009D7030">
        <w:t xml:space="preserve">the </w:t>
      </w:r>
      <w:r w:rsidR="00FE7D4B">
        <w:t xml:space="preserve">prosecution </w:t>
      </w:r>
      <w:r w:rsidR="001E0913">
        <w:t>indemnities</w:t>
      </w:r>
      <w:r w:rsidR="00FE7D4B">
        <w:t xml:space="preserve"> </w:t>
      </w:r>
      <w:r w:rsidR="006B661A">
        <w:t>for</w:t>
      </w:r>
      <w:r w:rsidR="00FE7D4B">
        <w:t xml:space="preserve"> witnesses</w:t>
      </w:r>
      <w:r w:rsidR="006B661A">
        <w:t xml:space="preserve"> giving</w:t>
      </w:r>
      <w:r w:rsidR="002D323E">
        <w:t xml:space="preserve"> evidence</w:t>
      </w:r>
      <w:r w:rsidR="00FE7D4B">
        <w:t xml:space="preserve"> at </w:t>
      </w:r>
      <w:r w:rsidR="002D323E">
        <w:t>t</w:t>
      </w:r>
      <w:r w:rsidR="00FE7D4B">
        <w:t xml:space="preserve">ribunals such as the Bloody Sunday enquiry, and the </w:t>
      </w:r>
      <w:r w:rsidR="009D7030">
        <w:t>lack of</w:t>
      </w:r>
      <w:r w:rsidR="00FE7D4B">
        <w:t xml:space="preserve"> investigation into the colossal numb</w:t>
      </w:r>
      <w:r w:rsidR="00B62AF0">
        <w:t>ers of people involved in the 16</w:t>
      </w:r>
      <w:r w:rsidR="00FE7D4B">
        <w:t xml:space="preserve">,000 bombings and </w:t>
      </w:r>
      <w:r w:rsidR="009D7030">
        <w:t xml:space="preserve">the </w:t>
      </w:r>
      <w:r w:rsidR="00B62AF0">
        <w:t>37,000</w:t>
      </w:r>
      <w:r w:rsidR="00FE7D4B">
        <w:t xml:space="preserve"> shootings of the Troubles </w:t>
      </w:r>
      <w:r w:rsidR="009D7030">
        <w:t>which</w:t>
      </w:r>
      <w:r w:rsidR="00FE7D4B">
        <w:t xml:space="preserve"> did not involve deaths</w:t>
      </w:r>
      <w:r w:rsidR="002D323E">
        <w:t>. For some</w:t>
      </w:r>
      <w:r w:rsidR="00B62AF0">
        <w:t xml:space="preserve"> 50,000 people </w:t>
      </w:r>
      <w:r w:rsidR="002D323E">
        <w:t xml:space="preserve">who were </w:t>
      </w:r>
      <w:r w:rsidR="001E0913">
        <w:t xml:space="preserve">only </w:t>
      </w:r>
      <w:r w:rsidR="002D323E">
        <w:t xml:space="preserve">injured there </w:t>
      </w:r>
      <w:r w:rsidR="002C4988">
        <w:t xml:space="preserve">is </w:t>
      </w:r>
      <w:r w:rsidR="00BE740F">
        <w:t xml:space="preserve">to be </w:t>
      </w:r>
      <w:r w:rsidR="002D323E">
        <w:t>no justice.</w:t>
      </w:r>
      <w:r w:rsidR="00B62AF0">
        <w:t xml:space="preserve"> </w:t>
      </w:r>
      <w:r w:rsidR="004710D7">
        <w:t>G</w:t>
      </w:r>
      <w:r w:rsidR="00D40AC0">
        <w:t xml:space="preserve">iven the </w:t>
      </w:r>
      <w:r w:rsidR="00D02268">
        <w:t>oft-</w:t>
      </w:r>
      <w:r w:rsidR="00B62AF0">
        <w:t xml:space="preserve">predicted </w:t>
      </w:r>
      <w:r w:rsidR="00D02268">
        <w:t>paucity of future</w:t>
      </w:r>
      <w:r w:rsidR="00D40AC0">
        <w:t xml:space="preserve"> prosecutions</w:t>
      </w:r>
      <w:r w:rsidR="00D02268">
        <w:t>,</w:t>
      </w:r>
      <w:r w:rsidR="00D40AC0">
        <w:t xml:space="preserve"> outside of army veterans</w:t>
      </w:r>
      <w:r w:rsidR="00D02268">
        <w:t>,</w:t>
      </w:r>
      <w:r w:rsidR="00D40AC0">
        <w:t xml:space="preserve"> we</w:t>
      </w:r>
      <w:r w:rsidR="00BE740F">
        <w:t xml:space="preserve"> are </w:t>
      </w:r>
      <w:r w:rsidR="00D40AC0">
        <w:t>close, to a full amnesty</w:t>
      </w:r>
      <w:r w:rsidR="002D323E">
        <w:t>,</w:t>
      </w:r>
      <w:r w:rsidR="00D02268" w:rsidRPr="00D02268">
        <w:t xml:space="preserve"> </w:t>
      </w:r>
      <w:r w:rsidR="004710D7">
        <w:t>in all but name</w:t>
      </w:r>
      <w:r w:rsidR="00D40AC0">
        <w:t>.</w:t>
      </w:r>
    </w:p>
    <w:p w:rsidR="002D323E" w:rsidRDefault="00D40AC0" w:rsidP="004710D7">
      <w:pPr>
        <w:pStyle w:val="NoSpacing"/>
        <w:ind w:firstLine="720"/>
        <w:jc w:val="both"/>
      </w:pPr>
      <w:r>
        <w:t>But few dare</w:t>
      </w:r>
      <w:r w:rsidR="002C4988">
        <w:t xml:space="preserve"> to </w:t>
      </w:r>
      <w:r w:rsidR="00D02268">
        <w:t>speak</w:t>
      </w:r>
      <w:r>
        <w:t xml:space="preserve"> that name </w:t>
      </w:r>
      <w:r w:rsidR="00D02268">
        <w:t xml:space="preserve">- </w:t>
      </w:r>
      <w:r>
        <w:t>or its variants of drawing a lin</w:t>
      </w:r>
      <w:r w:rsidR="00D02268">
        <w:t>e</w:t>
      </w:r>
      <w:r w:rsidR="002C4988">
        <w:t>, a statute of limitations</w:t>
      </w:r>
      <w:r w:rsidR="00BE740F">
        <w:t>,</w:t>
      </w:r>
      <w:r w:rsidR="009D7030">
        <w:t xml:space="preserve"> </w:t>
      </w:r>
      <w:r w:rsidR="00D02268">
        <w:t>putting the past behind us</w:t>
      </w:r>
      <w:r w:rsidR="004710D7">
        <w:t>,</w:t>
      </w:r>
      <w:r w:rsidR="00D02268">
        <w:t xml:space="preserve"> as </w:t>
      </w:r>
      <w:r>
        <w:t>happened in both parts of Ireland in the 1920s.</w:t>
      </w:r>
      <w:r w:rsidR="00D02268">
        <w:t xml:space="preserve"> Notably, Amnesty International is vigorously opposed to an amnesty</w:t>
      </w:r>
      <w:r w:rsidR="0086135D">
        <w:t xml:space="preserve"> but</w:t>
      </w:r>
      <w:r w:rsidR="004710D7">
        <w:t>,</w:t>
      </w:r>
      <w:r w:rsidR="0086135D">
        <w:t xml:space="preserve"> i</w:t>
      </w:r>
      <w:r w:rsidR="00D02268">
        <w:t>n private</w:t>
      </w:r>
      <w:r w:rsidR="004710D7">
        <w:t>,</w:t>
      </w:r>
      <w:r w:rsidR="00D02268">
        <w:t xml:space="preserve"> </w:t>
      </w:r>
      <w:r w:rsidR="002C4988">
        <w:t>numbers of</w:t>
      </w:r>
      <w:r w:rsidR="006B661A">
        <w:t xml:space="preserve"> </w:t>
      </w:r>
      <w:r w:rsidR="009D7030">
        <w:t xml:space="preserve">politicians </w:t>
      </w:r>
      <w:r w:rsidR="00D02268">
        <w:t xml:space="preserve">admit to </w:t>
      </w:r>
      <w:r w:rsidR="0086135D">
        <w:t>wanting</w:t>
      </w:r>
      <w:r w:rsidR="00BE740F">
        <w:t>,</w:t>
      </w:r>
      <w:r w:rsidR="00D02268">
        <w:t xml:space="preserve"> </w:t>
      </w:r>
      <w:r w:rsidR="002C4988">
        <w:t>if not accepting</w:t>
      </w:r>
      <w:r w:rsidR="00BE740F">
        <w:t>,</w:t>
      </w:r>
      <w:r w:rsidR="002C4988">
        <w:t xml:space="preserve"> </w:t>
      </w:r>
      <w:r w:rsidR="00D02268">
        <w:t>one</w:t>
      </w:r>
      <w:r w:rsidR="004710D7">
        <w:t>.</w:t>
      </w:r>
      <w:r w:rsidR="00D02268">
        <w:t xml:space="preserve"> </w:t>
      </w:r>
    </w:p>
    <w:p w:rsidR="00D40AC0" w:rsidRDefault="009D7030" w:rsidP="004710D7">
      <w:pPr>
        <w:pStyle w:val="NoSpacing"/>
        <w:ind w:firstLine="720"/>
        <w:jc w:val="both"/>
      </w:pPr>
      <w:r>
        <w:t xml:space="preserve">There are many public figures </w:t>
      </w:r>
      <w:r w:rsidR="002D323E" w:rsidRPr="009D7030">
        <w:t>in Northern Ireland</w:t>
      </w:r>
      <w:r w:rsidR="002D323E">
        <w:t xml:space="preserve"> </w:t>
      </w:r>
      <w:r>
        <w:t xml:space="preserve">who </w:t>
      </w:r>
      <w:r w:rsidR="002C4988">
        <w:t xml:space="preserve">have spoken </w:t>
      </w:r>
      <w:r>
        <w:t>of that need.</w:t>
      </w:r>
      <w:r w:rsidRPr="009D7030">
        <w:t xml:space="preserve"> </w:t>
      </w:r>
      <w:r>
        <w:t xml:space="preserve">Some notable Catholic and or nationalist individuals </w:t>
      </w:r>
      <w:r w:rsidRPr="009D7030">
        <w:t xml:space="preserve">who favour drawing a line on the past </w:t>
      </w:r>
      <w:r w:rsidR="00B62AF0">
        <w:t>are</w:t>
      </w:r>
      <w:r>
        <w:t xml:space="preserve"> John Larkin </w:t>
      </w:r>
      <w:r w:rsidR="002D323E" w:rsidRPr="009D7030">
        <w:t>who</w:t>
      </w:r>
      <w:r w:rsidR="002D323E">
        <w:t xml:space="preserve"> </w:t>
      </w:r>
      <w:r>
        <w:t>when Attorney G</w:t>
      </w:r>
      <w:r w:rsidRPr="009D7030">
        <w:t>eneral offered the practical propos</w:t>
      </w:r>
      <w:r w:rsidR="002D323E">
        <w:t>ition</w:t>
      </w:r>
      <w:r w:rsidRPr="009D7030">
        <w:t xml:space="preserve"> of a stay on prosecutions</w:t>
      </w:r>
      <w:r>
        <w:t>, former Assistant Chief Constable</w:t>
      </w:r>
      <w:r w:rsidRPr="009D7030">
        <w:t xml:space="preserve"> Peter Sheridan, Dennis Bradley</w:t>
      </w:r>
      <w:r>
        <w:t xml:space="preserve"> of </w:t>
      </w:r>
      <w:r w:rsidR="00B62AF0">
        <w:t xml:space="preserve">the </w:t>
      </w:r>
      <w:r>
        <w:t xml:space="preserve">Consultative Group on the Past, </w:t>
      </w:r>
      <w:r w:rsidR="00B62AF0">
        <w:t xml:space="preserve">even </w:t>
      </w:r>
      <w:r>
        <w:t>at one time the Lord C</w:t>
      </w:r>
      <w:r w:rsidR="00B62AF0">
        <w:t xml:space="preserve">hief Justice Sir Declan Morgan </w:t>
      </w:r>
      <w:r>
        <w:t xml:space="preserve">and </w:t>
      </w:r>
      <w:r w:rsidR="004F1692" w:rsidRPr="009D7030">
        <w:t>the former DPP</w:t>
      </w:r>
      <w:r w:rsidR="004F1692">
        <w:t>,</w:t>
      </w:r>
      <w:r w:rsidR="004F1692" w:rsidRPr="009D7030">
        <w:t xml:space="preserve"> </w:t>
      </w:r>
      <w:r w:rsidRPr="009D7030">
        <w:t>Barra McGrory</w:t>
      </w:r>
      <w:r>
        <w:t>.</w:t>
      </w:r>
      <w:r w:rsidR="00B62AF0">
        <w:t xml:space="preserve"> A</w:t>
      </w:r>
      <w:r w:rsidR="002D323E">
        <w:t>nother</w:t>
      </w:r>
      <w:r w:rsidR="00B62AF0">
        <w:t xml:space="preserve"> notable advocate is Sir Desmond Rea, a prominent Methodist and first chairman of the N</w:t>
      </w:r>
      <w:r w:rsidR="004F1692">
        <w:t>orthern Ireland</w:t>
      </w:r>
      <w:r w:rsidR="00B62AF0">
        <w:t xml:space="preserve"> Policing Board.</w:t>
      </w:r>
      <w:r w:rsidR="002D323E">
        <w:t xml:space="preserve"> None however have advanced proposals on how to address, let alone eliminate, lawfare which has </w:t>
      </w:r>
      <w:r w:rsidR="002C4988">
        <w:t xml:space="preserve">surely </w:t>
      </w:r>
      <w:r w:rsidR="002D323E">
        <w:t>to be a concomitant policy.</w:t>
      </w:r>
    </w:p>
    <w:p w:rsidR="00B62AF0" w:rsidRDefault="00D40AC0" w:rsidP="004710D7">
      <w:pPr>
        <w:pStyle w:val="NoSpacing"/>
        <w:ind w:firstLine="720"/>
        <w:jc w:val="both"/>
      </w:pPr>
      <w:r>
        <w:t>In 2005</w:t>
      </w:r>
      <w:r w:rsidR="000A26E5">
        <w:t>,</w:t>
      </w:r>
      <w:r>
        <w:t xml:space="preserve"> Peter Hain</w:t>
      </w:r>
      <w:r w:rsidR="00B62AF0">
        <w:t>,</w:t>
      </w:r>
      <w:r>
        <w:t xml:space="preserve"> as Secretary of State</w:t>
      </w:r>
      <w:r w:rsidR="00B62AF0">
        <w:t>,</w:t>
      </w:r>
      <w:r>
        <w:t xml:space="preserve"> introduced the Northern Ireland (Offences) Bill which provided for an amnesty, albeit 'judicially based', for</w:t>
      </w:r>
      <w:r w:rsidR="00B62AF0">
        <w:t xml:space="preserve"> </w:t>
      </w:r>
      <w:r>
        <w:t>OTRs and others</w:t>
      </w:r>
      <w:r w:rsidR="00846861">
        <w:rPr>
          <w:rStyle w:val="FootnoteReference"/>
        </w:rPr>
        <w:footnoteReference w:id="1"/>
      </w:r>
      <w:r>
        <w:t xml:space="preserve">. He said then it was </w:t>
      </w:r>
      <w:r w:rsidR="00B62AF0">
        <w:t xml:space="preserve">European Convention on Human Rights (ECHR) </w:t>
      </w:r>
      <w:r>
        <w:t xml:space="preserve">Article 2 compliant. The deal </w:t>
      </w:r>
      <w:r w:rsidR="00B62AF0">
        <w:t xml:space="preserve">in the Bill </w:t>
      </w:r>
      <w:r>
        <w:t xml:space="preserve">was argued for and agreed with Sinn Fein. However when it transpired that it might end up applying to members of the security forces it foundered. The OTRs had to </w:t>
      </w:r>
      <w:r w:rsidR="00B62AF0">
        <w:t>a</w:t>
      </w:r>
      <w:r w:rsidR="0086135D">
        <w:t>wait</w:t>
      </w:r>
      <w:r>
        <w:t xml:space="preserve"> another</w:t>
      </w:r>
      <w:r w:rsidR="00B62AF0">
        <w:t>,</w:t>
      </w:r>
      <w:r>
        <w:t xml:space="preserve"> more secret operation</w:t>
      </w:r>
      <w:r w:rsidR="00B62AF0">
        <w:t xml:space="preserve"> put together by the IRA and Tony Blair</w:t>
      </w:r>
      <w:r w:rsidR="002C4988">
        <w:t>,</w:t>
      </w:r>
      <w:r w:rsidR="002C4988" w:rsidRPr="002C4988">
        <w:t xml:space="preserve"> </w:t>
      </w:r>
      <w:r w:rsidR="002C4988">
        <w:t>involving letters of comfort</w:t>
      </w:r>
      <w:r>
        <w:t xml:space="preserve">. </w:t>
      </w:r>
    </w:p>
    <w:bookmarkEnd w:id="0"/>
    <w:p w:rsidR="00CC0DAD" w:rsidRDefault="0082259D" w:rsidP="0082259D">
      <w:pPr>
        <w:pStyle w:val="NoSpacing"/>
        <w:ind w:firstLine="720"/>
        <w:jc w:val="both"/>
      </w:pPr>
      <w:r>
        <w:lastRenderedPageBreak/>
        <w:t>In the same year</w:t>
      </w:r>
      <w:r w:rsidR="008073A5">
        <w:t>,</w:t>
      </w:r>
      <w:r w:rsidR="00C70383">
        <w:t xml:space="preserve"> following critical judg</w:t>
      </w:r>
      <w:r>
        <w:t xml:space="preserve">ments </w:t>
      </w:r>
      <w:r w:rsidR="00BE740F">
        <w:t xml:space="preserve">at Strasbourg </w:t>
      </w:r>
      <w:r w:rsidR="00A375ED">
        <w:t>in N</w:t>
      </w:r>
      <w:r w:rsidR="00CC0DAD">
        <w:t xml:space="preserve">orthern </w:t>
      </w:r>
      <w:r w:rsidR="00B62AF0">
        <w:t>Ireland</w:t>
      </w:r>
      <w:r w:rsidR="00A375ED">
        <w:t xml:space="preserve"> </w:t>
      </w:r>
      <w:r w:rsidR="00981C5C">
        <w:t xml:space="preserve">Article 2 </w:t>
      </w:r>
      <w:r w:rsidR="00A375ED">
        <w:t>legacy cases</w:t>
      </w:r>
      <w:r w:rsidR="00E63ED0">
        <w:t>,</w:t>
      </w:r>
      <w:r>
        <w:t xml:space="preserve"> </w:t>
      </w:r>
      <w:r w:rsidR="00BE740F">
        <w:t>the</w:t>
      </w:r>
      <w:r>
        <w:t xml:space="preserve"> enforcing Committee of Ministers endorsed the </w:t>
      </w:r>
      <w:r w:rsidR="00CC0DAD">
        <w:t>Historic Enquiries Team (</w:t>
      </w:r>
      <w:r>
        <w:t>HET</w:t>
      </w:r>
      <w:r w:rsidR="00CC0DAD">
        <w:t>)</w:t>
      </w:r>
      <w:r>
        <w:t xml:space="preserve"> proposal put together by the Chief Constable </w:t>
      </w:r>
      <w:r w:rsidR="00CC0DAD">
        <w:t xml:space="preserve">of the PSNI, </w:t>
      </w:r>
      <w:r>
        <w:t>Sir Hugh Orde.</w:t>
      </w:r>
      <w:r w:rsidR="00A375ED">
        <w:t xml:space="preserve"> </w:t>
      </w:r>
      <w:r>
        <w:t>Despite considerable succes</w:t>
      </w:r>
      <w:r w:rsidR="00CC42FB">
        <w:t>s</w:t>
      </w:r>
      <w:r w:rsidR="00981C5C">
        <w:t>,</w:t>
      </w:r>
      <w:r w:rsidR="00CC42FB">
        <w:t xml:space="preserve"> and popularity amongst victim</w:t>
      </w:r>
      <w:r>
        <w:t>s’ families</w:t>
      </w:r>
      <w:r w:rsidR="00CC0DAD">
        <w:t>, i</w:t>
      </w:r>
      <w:r>
        <w:t>t was to be taken out and abandoned after a critical academic assessment by Patricia Lundy and the subsequent</w:t>
      </w:r>
      <w:r w:rsidR="00CC0DAD">
        <w:t xml:space="preserve"> </w:t>
      </w:r>
      <w:r w:rsidR="00981C5C">
        <w:t xml:space="preserve">Otter report of </w:t>
      </w:r>
      <w:r w:rsidR="00CC0DAD">
        <w:t xml:space="preserve">Her Majesty's Inspectorate of Constabulary </w:t>
      </w:r>
      <w:r w:rsidR="00981C5C">
        <w:t>(HMIC).</w:t>
      </w:r>
    </w:p>
    <w:p w:rsidR="00CC0DAD" w:rsidRDefault="0082259D" w:rsidP="0082259D">
      <w:pPr>
        <w:pStyle w:val="NoSpacing"/>
        <w:ind w:firstLine="720"/>
        <w:jc w:val="both"/>
      </w:pPr>
      <w:r>
        <w:t>The HMIC report, published in July 2013</w:t>
      </w:r>
      <w:r w:rsidR="00CC0DAD">
        <w:t>,</w:t>
      </w:r>
      <w:r>
        <w:t xml:space="preserve"> found that HET investigated cases whe</w:t>
      </w:r>
      <w:r w:rsidR="00CC0DAD">
        <w:t>re the state was involved with “less rigour”</w:t>
      </w:r>
      <w:r>
        <w:t xml:space="preserve"> than others </w:t>
      </w:r>
      <w:r w:rsidR="00981C5C">
        <w:t>while</w:t>
      </w:r>
      <w:r>
        <w:t xml:space="preserve"> it appeared </w:t>
      </w:r>
      <w:r w:rsidR="00BE740F">
        <w:t>its</w:t>
      </w:r>
      <w:r>
        <w:t xml:space="preserve"> policy was b</w:t>
      </w:r>
      <w:r w:rsidR="00CC0DAD">
        <w:t>ased on a “misrepresentation of the law”</w:t>
      </w:r>
      <w:r w:rsidR="00BE740F">
        <w:t>. It said its</w:t>
      </w:r>
      <w:r>
        <w:t xml:space="preserve"> approach was inconsistent and had serious shortcomings.</w:t>
      </w:r>
      <w:r w:rsidR="00E47829">
        <w:t xml:space="preserve"> The way HET a</w:t>
      </w:r>
      <w:r w:rsidR="00981C5C">
        <w:t>ddressed</w:t>
      </w:r>
      <w:r w:rsidR="00E47829">
        <w:t xml:space="preserve"> security force killings was the major thrust of criticism. However </w:t>
      </w:r>
      <w:r w:rsidR="002C4988">
        <w:t>it</w:t>
      </w:r>
      <w:r w:rsidR="00E47829">
        <w:t xml:space="preserve"> </w:t>
      </w:r>
      <w:proofErr w:type="gramStart"/>
      <w:r w:rsidR="00E47829">
        <w:t>was essentially</w:t>
      </w:r>
      <w:proofErr w:type="gramEnd"/>
      <w:r w:rsidR="00E47829">
        <w:t xml:space="preserve"> destroyed</w:t>
      </w:r>
      <w:r w:rsidR="007461E7">
        <w:t xml:space="preserve"> </w:t>
      </w:r>
      <w:r w:rsidR="00E47829">
        <w:t>for failing to be what it was not</w:t>
      </w:r>
      <w:r w:rsidR="00981C5C">
        <w:t>,</w:t>
      </w:r>
      <w:r w:rsidR="007461E7">
        <w:t xml:space="preserve"> </w:t>
      </w:r>
      <w:r w:rsidR="00CC0DAD">
        <w:t>n</w:t>
      </w:r>
      <w:r w:rsidR="007461E7">
        <w:t>or was ever intended to be</w:t>
      </w:r>
      <w:r w:rsidR="00E47829">
        <w:t xml:space="preserve">. It was not </w:t>
      </w:r>
      <w:r w:rsidR="00DD5C0B">
        <w:t>so much</w:t>
      </w:r>
      <w:r w:rsidR="00E47829">
        <w:t xml:space="preserve"> a </w:t>
      </w:r>
      <w:r w:rsidR="007461E7">
        <w:t xml:space="preserve">crime </w:t>
      </w:r>
      <w:r w:rsidR="00E47829">
        <w:t>reinvestigation process</w:t>
      </w:r>
      <w:r w:rsidR="00DD5C0B">
        <w:t xml:space="preserve"> as</w:t>
      </w:r>
      <w:r w:rsidR="00E47829">
        <w:t xml:space="preserve"> an information recovery operation. </w:t>
      </w:r>
    </w:p>
    <w:p w:rsidR="00CC0DAD" w:rsidRDefault="00E47829" w:rsidP="0082259D">
      <w:pPr>
        <w:pStyle w:val="NoSpacing"/>
        <w:ind w:firstLine="720"/>
        <w:jc w:val="both"/>
      </w:pPr>
      <w:r>
        <w:t>As a result of the criticism</w:t>
      </w:r>
      <w:r w:rsidR="002C4988">
        <w:t>,</w:t>
      </w:r>
      <w:r>
        <w:t xml:space="preserve"> and after closing it down</w:t>
      </w:r>
      <w:r w:rsidR="00CC0DAD">
        <w:t>,</w:t>
      </w:r>
      <w:r>
        <w:t xml:space="preserve"> the PSNI uniquely </w:t>
      </w:r>
      <w:r w:rsidR="00CC0DAD">
        <w:t>extracted and prioritised all</w:t>
      </w:r>
      <w:r>
        <w:t xml:space="preserve"> security </w:t>
      </w:r>
      <w:r w:rsidR="00CC0DAD">
        <w:t xml:space="preserve">force </w:t>
      </w:r>
      <w:r>
        <w:t>killings</w:t>
      </w:r>
      <w:r w:rsidR="00CC0DAD">
        <w:t>, legal</w:t>
      </w:r>
      <w:r>
        <w:t xml:space="preserve"> or not</w:t>
      </w:r>
      <w:r w:rsidR="00981C5C">
        <w:t>,</w:t>
      </w:r>
      <w:r>
        <w:t xml:space="preserve"> and handed </w:t>
      </w:r>
      <w:r w:rsidR="00CC0DAD">
        <w:t>some 300</w:t>
      </w:r>
      <w:r>
        <w:t xml:space="preserve"> </w:t>
      </w:r>
      <w:r w:rsidR="003B01A3">
        <w:t xml:space="preserve">army </w:t>
      </w:r>
      <w:r w:rsidR="00CC0DAD">
        <w:t xml:space="preserve">cases </w:t>
      </w:r>
      <w:r>
        <w:t>over to its new L</w:t>
      </w:r>
      <w:r w:rsidR="00CC0DAD">
        <w:t xml:space="preserve">egacy Investigation Branch (LIB) for reinvestigation. </w:t>
      </w:r>
      <w:r w:rsidR="005378EC">
        <w:t>F</w:t>
      </w:r>
      <w:r w:rsidR="00CC0DAD">
        <w:t xml:space="preserve">or fear of </w:t>
      </w:r>
      <w:r w:rsidR="00BE740F">
        <w:t xml:space="preserve">more </w:t>
      </w:r>
      <w:r w:rsidR="005378EC">
        <w:t xml:space="preserve">academic </w:t>
      </w:r>
      <w:r w:rsidR="00CC0DAD">
        <w:t>criticism</w:t>
      </w:r>
      <w:r w:rsidR="005378EC">
        <w:t>,</w:t>
      </w:r>
      <w:r w:rsidR="00CC0DAD">
        <w:t xml:space="preserve"> </w:t>
      </w:r>
      <w:r w:rsidR="005378EC">
        <w:t xml:space="preserve">LIB </w:t>
      </w:r>
      <w:r w:rsidR="00CC0DAD">
        <w:t>move</w:t>
      </w:r>
      <w:r w:rsidR="002C4988">
        <w:t>d</w:t>
      </w:r>
      <w:r w:rsidR="00CC0DAD">
        <w:t xml:space="preserve"> very slowly</w:t>
      </w:r>
      <w:r w:rsidR="002C4988">
        <w:t>, some said ponderously</w:t>
      </w:r>
      <w:r w:rsidR="00CC0DAD">
        <w:t>.</w:t>
      </w:r>
    </w:p>
    <w:p w:rsidR="0082259D" w:rsidRDefault="00E47829" w:rsidP="0082259D">
      <w:pPr>
        <w:pStyle w:val="NoSpacing"/>
        <w:ind w:firstLine="720"/>
        <w:jc w:val="both"/>
      </w:pPr>
      <w:r>
        <w:t xml:space="preserve"> The great</w:t>
      </w:r>
      <w:r w:rsidR="002C4988">
        <w:t xml:space="preserve"> </w:t>
      </w:r>
      <w:r>
        <w:t xml:space="preserve">failure </w:t>
      </w:r>
      <w:r w:rsidR="002C4988">
        <w:t>has been</w:t>
      </w:r>
      <w:r>
        <w:t xml:space="preserve"> the</w:t>
      </w:r>
      <w:r w:rsidR="007276D2">
        <w:t xml:space="preserve"> present </w:t>
      </w:r>
      <w:r w:rsidR="00673E0C">
        <w:t xml:space="preserve">PSNI </w:t>
      </w:r>
      <w:r w:rsidR="00CC0DAD">
        <w:t>Chief Constable</w:t>
      </w:r>
      <w:r w:rsidR="007276D2">
        <w:t>, Simon Byrne, and his predecessor</w:t>
      </w:r>
      <w:r w:rsidR="00981C5C">
        <w:t>,</w:t>
      </w:r>
      <w:r w:rsidR="00CC0DAD">
        <w:t xml:space="preserve"> </w:t>
      </w:r>
      <w:r w:rsidR="00981C5C">
        <w:t xml:space="preserve">George Hamilton, </w:t>
      </w:r>
      <w:r>
        <w:t xml:space="preserve">trying desperately to keep away from </w:t>
      </w:r>
      <w:r w:rsidR="00CC0DAD">
        <w:t>the</w:t>
      </w:r>
      <w:r w:rsidR="00673E0C">
        <w:t>ir</w:t>
      </w:r>
      <w:r>
        <w:t xml:space="preserve"> responsibility to address historic crime</w:t>
      </w:r>
      <w:r w:rsidR="007461E7">
        <w:t xml:space="preserve"> </w:t>
      </w:r>
      <w:r w:rsidR="00CC0DAD">
        <w:t xml:space="preserve">(that is </w:t>
      </w:r>
      <w:r w:rsidR="00673E0C">
        <w:t xml:space="preserve">actually </w:t>
      </w:r>
      <w:r w:rsidR="00CC0DAD">
        <w:t xml:space="preserve">all crime). </w:t>
      </w:r>
      <w:r w:rsidR="00981C5C">
        <w:t xml:space="preserve">Hamilton </w:t>
      </w:r>
      <w:r w:rsidR="002C4988">
        <w:t>was</w:t>
      </w:r>
      <w:r w:rsidR="00981C5C">
        <w:t xml:space="preserve"> adamant that this is not police work and must instead b</w:t>
      </w:r>
      <w:r w:rsidR="002C4988">
        <w:t>e</w:t>
      </w:r>
      <w:r w:rsidR="00981C5C">
        <w:t xml:space="preserve"> victim-focused</w:t>
      </w:r>
      <w:r w:rsidR="00BE740F">
        <w:t xml:space="preserve"> that is</w:t>
      </w:r>
      <w:r w:rsidR="00981C5C">
        <w:t xml:space="preserve"> controlled</w:t>
      </w:r>
      <w:r w:rsidR="00DD5C0B">
        <w:t xml:space="preserve"> by essentially one wing of </w:t>
      </w:r>
      <w:r w:rsidR="00981C5C">
        <w:t>victims</w:t>
      </w:r>
      <w:r w:rsidR="00DD5C0B">
        <w:t>’</w:t>
      </w:r>
      <w:r w:rsidR="00981C5C">
        <w:t xml:space="preserve"> organisations. He </w:t>
      </w:r>
      <w:r w:rsidR="00AA1B20">
        <w:t>propose</w:t>
      </w:r>
      <w:r w:rsidR="002C4988">
        <w:t>d</w:t>
      </w:r>
      <w:r w:rsidR="00981C5C">
        <w:t xml:space="preserve"> instead </w:t>
      </w:r>
      <w:r w:rsidR="00AA1B20">
        <w:t xml:space="preserve">following </w:t>
      </w:r>
      <w:r w:rsidR="00981C5C">
        <w:t xml:space="preserve">the </w:t>
      </w:r>
      <w:r w:rsidR="00AA1B20">
        <w:t>example of Kenova</w:t>
      </w:r>
      <w:r w:rsidR="00981C5C">
        <w:t>.</w:t>
      </w:r>
    </w:p>
    <w:p w:rsidR="00AA1B20" w:rsidRDefault="00DD5C0B" w:rsidP="00F109DC">
      <w:pPr>
        <w:pStyle w:val="NoSpacing"/>
        <w:ind w:firstLine="720"/>
        <w:jc w:val="both"/>
      </w:pPr>
      <w:r>
        <w:t xml:space="preserve">Operation </w:t>
      </w:r>
      <w:r w:rsidR="00F109DC">
        <w:t>Kenova</w:t>
      </w:r>
      <w:r w:rsidR="003C2C31">
        <w:t>,</w:t>
      </w:r>
      <w:r w:rsidR="00F109DC">
        <w:t xml:space="preserve"> under form</w:t>
      </w:r>
      <w:r w:rsidR="00BE740F">
        <w:t>er Bedfordshire Chief Constable</w:t>
      </w:r>
      <w:r w:rsidR="00F109DC">
        <w:t xml:space="preserve"> Jon Boutcher, was a very </w:t>
      </w:r>
      <w:r w:rsidR="00AA1B20">
        <w:t>specific</w:t>
      </w:r>
      <w:r w:rsidR="00F109DC">
        <w:t xml:space="preserve"> operation</w:t>
      </w:r>
      <w:r w:rsidR="003C2C31">
        <w:t xml:space="preserve"> </w:t>
      </w:r>
      <w:r w:rsidR="00F109DC">
        <w:t xml:space="preserve">with </w:t>
      </w:r>
      <w:r w:rsidR="003C2C31">
        <w:t xml:space="preserve">a limited remit of </w:t>
      </w:r>
      <w:r w:rsidR="00F109DC">
        <w:t xml:space="preserve">commissions (including Stakeknife </w:t>
      </w:r>
      <w:r w:rsidR="002C4988">
        <w:t xml:space="preserve">– Kenova – </w:t>
      </w:r>
      <w:r w:rsidR="00F109DC">
        <w:t>and the Glenanne Gang</w:t>
      </w:r>
      <w:r w:rsidR="003C2C31">
        <w:t xml:space="preserve"> </w:t>
      </w:r>
      <w:r w:rsidR="00BE740F">
        <w:t>with</w:t>
      </w:r>
      <w:r w:rsidR="003C2C31">
        <w:t xml:space="preserve"> </w:t>
      </w:r>
      <w:r w:rsidR="002C4988">
        <w:t xml:space="preserve">other </w:t>
      </w:r>
      <w:r w:rsidR="003C2C31">
        <w:t xml:space="preserve">names like </w:t>
      </w:r>
      <w:r w:rsidR="00BE740F">
        <w:t>‘</w:t>
      </w:r>
      <w:r w:rsidR="003C2C31">
        <w:t>Mizzenmast</w:t>
      </w:r>
      <w:r w:rsidR="00BE740F">
        <w:t>’</w:t>
      </w:r>
      <w:r w:rsidR="003C2C31">
        <w:t xml:space="preserve"> and </w:t>
      </w:r>
      <w:r w:rsidR="00BE740F">
        <w:t>‘</w:t>
      </w:r>
      <w:r w:rsidR="003C2C31">
        <w:t>Turma</w:t>
      </w:r>
      <w:r w:rsidR="00BE740F">
        <w:t>’</w:t>
      </w:r>
      <w:r w:rsidR="00F109DC">
        <w:t>)</w:t>
      </w:r>
      <w:r w:rsidR="003C2C31">
        <w:t xml:space="preserve">. </w:t>
      </w:r>
      <w:r w:rsidR="00AA1B20">
        <w:t xml:space="preserve">The commissions came from the </w:t>
      </w:r>
      <w:r w:rsidR="00A55ADD">
        <w:t>police</w:t>
      </w:r>
      <w:r w:rsidR="002C4988">
        <w:t xml:space="preserve"> following court rulings, </w:t>
      </w:r>
      <w:r w:rsidR="00AA1B20">
        <w:t xml:space="preserve">often concerning PSNI independence or lack of same. </w:t>
      </w:r>
    </w:p>
    <w:p w:rsidR="003C2C31" w:rsidRDefault="002C4988" w:rsidP="00F109DC">
      <w:pPr>
        <w:pStyle w:val="NoSpacing"/>
        <w:ind w:firstLine="720"/>
        <w:jc w:val="both"/>
      </w:pPr>
      <w:r>
        <w:t>Boutcher</w:t>
      </w:r>
      <w:r w:rsidR="003C2C31">
        <w:t xml:space="preserve"> has some eighty </w:t>
      </w:r>
      <w:r w:rsidR="00A908A7">
        <w:t>staff</w:t>
      </w:r>
      <w:r w:rsidR="00AA1B20">
        <w:t>,</w:t>
      </w:r>
      <w:r w:rsidR="00A908A7">
        <w:t xml:space="preserve"> </w:t>
      </w:r>
      <w:r w:rsidR="003C2C31">
        <w:t>as does LIB</w:t>
      </w:r>
      <w:r w:rsidR="00AA1B20">
        <w:t>,</w:t>
      </w:r>
      <w:r w:rsidR="00A908A7">
        <w:t xml:space="preserve"> and a budget of </w:t>
      </w:r>
      <w:r w:rsidR="00AA1B20">
        <w:t>about</w:t>
      </w:r>
      <w:r w:rsidR="00A908A7">
        <w:t xml:space="preserve"> £5 million a year. </w:t>
      </w:r>
      <w:r>
        <w:t>He has</w:t>
      </w:r>
      <w:r w:rsidR="003C2C31">
        <w:t xml:space="preserve"> </w:t>
      </w:r>
      <w:r w:rsidR="00A908A7">
        <w:t xml:space="preserve">said </w:t>
      </w:r>
      <w:r w:rsidR="003C2C31">
        <w:t>at NIAC and elsewhere he is</w:t>
      </w:r>
      <w:r w:rsidR="00F109DC">
        <w:t xml:space="preserve"> very willing to take on </w:t>
      </w:r>
      <w:r w:rsidR="003C2C31">
        <w:t>investigating all 3,</w:t>
      </w:r>
      <w:r w:rsidR="00BE740F">
        <w:t>5</w:t>
      </w:r>
      <w:r w:rsidR="003C2C31">
        <w:t xml:space="preserve">00 historic </w:t>
      </w:r>
      <w:r w:rsidR="00BE740F">
        <w:t xml:space="preserve">death </w:t>
      </w:r>
      <w:r w:rsidR="003C2C31">
        <w:t>cases</w:t>
      </w:r>
      <w:r>
        <w:t xml:space="preserve"> and</w:t>
      </w:r>
      <w:r w:rsidR="003C2C31">
        <w:t xml:space="preserve"> ha</w:t>
      </w:r>
      <w:r>
        <w:t>d</w:t>
      </w:r>
      <w:r w:rsidR="003C2C31">
        <w:t xml:space="preserve"> wide support from many key players not least NIAC, Peter Hain and Wave but also in the media. His views have gone largely unchallenged</w:t>
      </w:r>
      <w:r w:rsidR="00A55ADD">
        <w:t xml:space="preserve"> as indeed are most </w:t>
      </w:r>
      <w:r w:rsidR="003C2C31">
        <w:t xml:space="preserve">legacy </w:t>
      </w:r>
      <w:r w:rsidR="00AA1B20">
        <w:t>re</w:t>
      </w:r>
      <w:r w:rsidR="003C2C31">
        <w:t>investigation views.</w:t>
      </w:r>
    </w:p>
    <w:p w:rsidR="00AA1B20" w:rsidRDefault="00A908A7" w:rsidP="00F109DC">
      <w:pPr>
        <w:pStyle w:val="NoSpacing"/>
        <w:ind w:firstLine="720"/>
        <w:jc w:val="both"/>
      </w:pPr>
      <w:proofErr w:type="gramStart"/>
      <w:r>
        <w:t xml:space="preserve">Jon Boutcher’s </w:t>
      </w:r>
      <w:r w:rsidR="003C2C31">
        <w:t>Kenova</w:t>
      </w:r>
      <w:r w:rsidR="00AA1B20">
        <w:t>,</w:t>
      </w:r>
      <w:r>
        <w:t xml:space="preserve"> if </w:t>
      </w:r>
      <w:r w:rsidR="003C2C31">
        <w:t>writ very large</w:t>
      </w:r>
      <w:r w:rsidR="00AA1B20">
        <w:t>,</w:t>
      </w:r>
      <w:r w:rsidR="003C2C31">
        <w:t xml:space="preserve"> would necessitate </w:t>
      </w:r>
      <w:r w:rsidR="007219CE">
        <w:t xml:space="preserve">at least a 25 year operation and </w:t>
      </w:r>
      <w:r w:rsidR="003C2C31">
        <w:t xml:space="preserve">a </w:t>
      </w:r>
      <w:r w:rsidR="00F109DC">
        <w:t>budget of several</w:t>
      </w:r>
      <w:r>
        <w:t xml:space="preserve"> </w:t>
      </w:r>
      <w:r w:rsidR="00F109DC">
        <w:t xml:space="preserve">billion </w:t>
      </w:r>
      <w:r>
        <w:t>pounds</w:t>
      </w:r>
      <w:r w:rsidR="00F109DC">
        <w:t>.</w:t>
      </w:r>
      <w:proofErr w:type="gramEnd"/>
      <w:r w:rsidR="00F109DC">
        <w:t xml:space="preserve"> </w:t>
      </w:r>
      <w:r>
        <w:t xml:space="preserve">Indeed if one was </w:t>
      </w:r>
      <w:r w:rsidR="00AA1B20">
        <w:t xml:space="preserve">to </w:t>
      </w:r>
      <w:r>
        <w:t>follow</w:t>
      </w:r>
      <w:r w:rsidR="00AA1B20">
        <w:t xml:space="preserve"> the </w:t>
      </w:r>
      <w:r w:rsidR="00DD5C0B">
        <w:t xml:space="preserve">hard </w:t>
      </w:r>
      <w:r w:rsidR="002C4988">
        <w:t xml:space="preserve">version of the </w:t>
      </w:r>
      <w:r w:rsidR="00AA1B20">
        <w:t>‘</w:t>
      </w:r>
      <w:r>
        <w:t>Article 2 compliance</w:t>
      </w:r>
      <w:r w:rsidR="00AA1B20">
        <w:t>’</w:t>
      </w:r>
      <w:r>
        <w:t xml:space="preserve"> </w:t>
      </w:r>
      <w:r w:rsidR="00AA1B20">
        <w:t xml:space="preserve">demand, </w:t>
      </w:r>
      <w:r>
        <w:t>every death requires nothing short of a Saville</w:t>
      </w:r>
      <w:r w:rsidR="00DD5C0B">
        <w:t>-type,</w:t>
      </w:r>
      <w:r>
        <w:t xml:space="preserve"> </w:t>
      </w:r>
      <w:r w:rsidR="00DD5C0B">
        <w:t xml:space="preserve">Bloody Sunday </w:t>
      </w:r>
      <w:r>
        <w:t xml:space="preserve">inquiry. (It cost £200 million.) </w:t>
      </w:r>
    </w:p>
    <w:p w:rsidR="00F109DC" w:rsidRDefault="00AA1B20" w:rsidP="00F109DC">
      <w:pPr>
        <w:pStyle w:val="NoSpacing"/>
        <w:ind w:firstLine="720"/>
        <w:jc w:val="both"/>
      </w:pPr>
      <w:r>
        <w:t>99% of Troubles deaths have had inquests and were investigated by the police, as best as could be in the often perilous circumstances. But without context</w:t>
      </w:r>
      <w:r w:rsidR="00DD5C0B">
        <w:t>,</w:t>
      </w:r>
      <w:r>
        <w:t xml:space="preserve"> the investigations look minor or inadequate compared to what would happen</w:t>
      </w:r>
      <w:r w:rsidR="00303F31">
        <w:t>,</w:t>
      </w:r>
      <w:r>
        <w:t xml:space="preserve"> say</w:t>
      </w:r>
      <w:r w:rsidR="00303F31">
        <w:t>,</w:t>
      </w:r>
      <w:r>
        <w:t xml:space="preserve"> in Bedford</w:t>
      </w:r>
      <w:r w:rsidR="00A55ADD">
        <w:t xml:space="preserve"> today</w:t>
      </w:r>
      <w:r>
        <w:t>. I</w:t>
      </w:r>
      <w:r w:rsidR="003C2C31">
        <w:t xml:space="preserve"> have asked </w:t>
      </w:r>
      <w:r>
        <w:t xml:space="preserve">why </w:t>
      </w:r>
      <w:r w:rsidR="00F109DC">
        <w:t xml:space="preserve">a murder case in 1970s Belfast </w:t>
      </w:r>
      <w:r>
        <w:t xml:space="preserve">should </w:t>
      </w:r>
      <w:r w:rsidR="00F109DC">
        <w:t xml:space="preserve">be re-opened without credible and compelling new evidence if the same would never happen in </w:t>
      </w:r>
      <w:proofErr w:type="gramStart"/>
      <w:r w:rsidR="00F109DC">
        <w:t>Bedford?</w:t>
      </w:r>
      <w:proofErr w:type="gramEnd"/>
      <w:r w:rsidR="00F109DC">
        <w:t xml:space="preserve"> </w:t>
      </w:r>
      <w:r w:rsidR="003C2C31">
        <w:t>The answer was Belfast is different</w:t>
      </w:r>
      <w:r>
        <w:t>. On</w:t>
      </w:r>
      <w:r w:rsidR="00A908A7">
        <w:t>ly here do the families lead</w:t>
      </w:r>
      <w:r>
        <w:t xml:space="preserve"> within</w:t>
      </w:r>
      <w:r w:rsidR="00A55ADD">
        <w:t xml:space="preserve"> the new </w:t>
      </w:r>
      <w:r w:rsidR="00DD5C0B">
        <w:t xml:space="preserve">unwritten </w:t>
      </w:r>
      <w:r w:rsidR="00A55ADD">
        <w:t>law of</w:t>
      </w:r>
      <w:r w:rsidR="00A908A7">
        <w:t xml:space="preserve"> ‘</w:t>
      </w:r>
      <w:r w:rsidR="00A55ADD">
        <w:t>victim-</w:t>
      </w:r>
      <w:r w:rsidR="00A908A7">
        <w:t>centred justice’</w:t>
      </w:r>
      <w:r w:rsidR="003C2C31">
        <w:t xml:space="preserve">. </w:t>
      </w:r>
    </w:p>
    <w:p w:rsidR="00A908A7" w:rsidRDefault="00A908A7" w:rsidP="00F109DC">
      <w:pPr>
        <w:pStyle w:val="NoSpacing"/>
        <w:ind w:firstLine="720"/>
        <w:jc w:val="both"/>
      </w:pPr>
      <w:r>
        <w:t>The related problem that is not recognised</w:t>
      </w:r>
      <w:r w:rsidR="00303F31">
        <w:t>,</w:t>
      </w:r>
      <w:r>
        <w:t xml:space="preserve"> perhaps even by Jon Boutcher</w:t>
      </w:r>
      <w:r w:rsidR="00AA1B20">
        <w:t>,</w:t>
      </w:r>
      <w:r>
        <w:t xml:space="preserve"> is that Kenova is dealing with a very limited subset of </w:t>
      </w:r>
      <w:r w:rsidR="00DA0470">
        <w:t xml:space="preserve">victims’ </w:t>
      </w:r>
      <w:r>
        <w:t xml:space="preserve">families. He famously told NIAC </w:t>
      </w:r>
      <w:r w:rsidRPr="00A908A7">
        <w:t>“Every family wants to be a Kenova family</w:t>
      </w:r>
      <w:r>
        <w:t>.”</w:t>
      </w:r>
      <w:r w:rsidR="00AA1B20">
        <w:t xml:space="preserve"> That is particularly understandable in relation to the families of deceased agents or informants</w:t>
      </w:r>
      <w:r w:rsidR="00303F31">
        <w:t>,</w:t>
      </w:r>
      <w:r w:rsidR="00A55ADD">
        <w:t xml:space="preserve"> </w:t>
      </w:r>
      <w:r w:rsidR="00DD5C0B">
        <w:t>most</w:t>
      </w:r>
      <w:r w:rsidR="00A55ADD">
        <w:t xml:space="preserve"> involving </w:t>
      </w:r>
      <w:r w:rsidR="00DD5C0B">
        <w:t xml:space="preserve">the activities of Stakeknife himself, </w:t>
      </w:r>
      <w:r w:rsidR="00A55ADD">
        <w:t>Freddie Scappaticci</w:t>
      </w:r>
      <w:r w:rsidR="00AA1B20">
        <w:t>. For obvious reasons the state does not reveal whether a murdered individual was on their books although NCND</w:t>
      </w:r>
      <w:r w:rsidR="002C0DC0">
        <w:t>,</w:t>
      </w:r>
      <w:r w:rsidR="00DD5C0B">
        <w:t xml:space="preserve"> the</w:t>
      </w:r>
      <w:r w:rsidR="00AA1B20">
        <w:t xml:space="preserve"> </w:t>
      </w:r>
      <w:r w:rsidR="00A50964">
        <w:t>‘</w:t>
      </w:r>
      <w:r w:rsidR="00AA1B20">
        <w:t>neither confirm nor deny</w:t>
      </w:r>
      <w:r w:rsidR="00A50964">
        <w:t>’</w:t>
      </w:r>
      <w:r w:rsidR="00DD5C0B">
        <w:t xml:space="preserve"> </w:t>
      </w:r>
      <w:r w:rsidR="00DD5C0B">
        <w:lastRenderedPageBreak/>
        <w:t>policy</w:t>
      </w:r>
      <w:r w:rsidR="00A55ADD">
        <w:t>,</w:t>
      </w:r>
      <w:r w:rsidR="00A50964">
        <w:t xml:space="preserve"> </w:t>
      </w:r>
      <w:r w:rsidR="002C0DC0">
        <w:t>might</w:t>
      </w:r>
      <w:r w:rsidR="00AA1B20">
        <w:t xml:space="preserve"> be </w:t>
      </w:r>
      <w:r w:rsidR="00A55ADD">
        <w:t>subject to challenge</w:t>
      </w:r>
      <w:r w:rsidR="00AA1B20">
        <w:t xml:space="preserve">. </w:t>
      </w:r>
      <w:r w:rsidR="00A50964">
        <w:t xml:space="preserve">Indeed The National Archives at Kew is still withholding the names of those who provided MI5 with information about Roger Casement in 1916. </w:t>
      </w:r>
      <w:r w:rsidR="00AA1B20">
        <w:t xml:space="preserve">The relatives of those </w:t>
      </w:r>
      <w:r w:rsidR="00A50964">
        <w:t>informants who</w:t>
      </w:r>
      <w:r w:rsidR="00AA1B20">
        <w:t xml:space="preserve"> were </w:t>
      </w:r>
      <w:r w:rsidR="00A50964">
        <w:t>killed</w:t>
      </w:r>
      <w:r w:rsidR="00AA1B20">
        <w:t xml:space="preserve"> </w:t>
      </w:r>
      <w:r w:rsidR="00A50964">
        <w:t xml:space="preserve">in the Troubles </w:t>
      </w:r>
      <w:r w:rsidR="00AA1B20">
        <w:t xml:space="preserve">were </w:t>
      </w:r>
      <w:r w:rsidR="00A50964">
        <w:t xml:space="preserve">thus </w:t>
      </w:r>
      <w:r w:rsidR="00AA1B20">
        <w:t>neglected or ignored for decades</w:t>
      </w:r>
      <w:r w:rsidR="00A55ADD">
        <w:t xml:space="preserve"> and denied definitive information</w:t>
      </w:r>
      <w:r w:rsidR="00AA1B20">
        <w:t>.</w:t>
      </w:r>
      <w:r w:rsidR="00A50964">
        <w:t xml:space="preserve"> It could probably not have been done differently in the middle of a terrorist war</w:t>
      </w:r>
      <w:r w:rsidR="00A55ADD">
        <w:t xml:space="preserve"> and many probably wanted no such information</w:t>
      </w:r>
      <w:r w:rsidR="00DD5C0B">
        <w:t>,</w:t>
      </w:r>
      <w:r w:rsidR="00BF2557">
        <w:t xml:space="preserve"> certainly none that might be made public</w:t>
      </w:r>
      <w:r w:rsidR="00A50964">
        <w:t>.</w:t>
      </w:r>
    </w:p>
    <w:p w:rsidR="002C0DC0" w:rsidRDefault="00A50964" w:rsidP="0082259D">
      <w:pPr>
        <w:pStyle w:val="NoSpacing"/>
        <w:ind w:firstLine="720"/>
        <w:jc w:val="both"/>
      </w:pPr>
      <w:r>
        <w:t xml:space="preserve">The other </w:t>
      </w:r>
      <w:proofErr w:type="gramStart"/>
      <w:r>
        <w:t xml:space="preserve">subgroup </w:t>
      </w:r>
      <w:r w:rsidR="002C0DC0">
        <w:t xml:space="preserve">of families </w:t>
      </w:r>
      <w:r>
        <w:t>predominating are</w:t>
      </w:r>
      <w:proofErr w:type="gramEnd"/>
      <w:r>
        <w:t xml:space="preserve"> of those killed by </w:t>
      </w:r>
      <w:r w:rsidR="00DD5C0B">
        <w:t xml:space="preserve">the Glenanne gang of </w:t>
      </w:r>
      <w:r>
        <w:t xml:space="preserve">Loyalist terrorists operating in border areas (and across it) in the early 1970s. Those relatives are largely convinced of the collusion allegations against the army and the RUC and may never be satisfied. </w:t>
      </w:r>
    </w:p>
    <w:p w:rsidR="00981C5C" w:rsidRDefault="00A50964" w:rsidP="0082259D">
      <w:pPr>
        <w:pStyle w:val="NoSpacing"/>
        <w:ind w:firstLine="720"/>
        <w:jc w:val="both"/>
      </w:pPr>
      <w:r>
        <w:t>Boutcher has put a dozen or more fil</w:t>
      </w:r>
      <w:r w:rsidR="00303F31">
        <w:t>es before the PPS who chose</w:t>
      </w:r>
      <w:r>
        <w:t xml:space="preserve"> </w:t>
      </w:r>
      <w:r w:rsidR="00DD5C0B">
        <w:t xml:space="preserve">in October 2020 </w:t>
      </w:r>
      <w:r w:rsidR="00DA0470">
        <w:t>in four cases not to prosecute.</w:t>
      </w:r>
      <w:r>
        <w:t xml:space="preserve"> </w:t>
      </w:r>
      <w:r w:rsidR="00DA0470">
        <w:t xml:space="preserve">Those cases concerned an individual’s alleged perjury, </w:t>
      </w:r>
      <w:r w:rsidR="00DA0470" w:rsidRPr="00DA0470">
        <w:t xml:space="preserve">two </w:t>
      </w:r>
      <w:r w:rsidR="00DA0470">
        <w:t xml:space="preserve">related to </w:t>
      </w:r>
      <w:r w:rsidR="00DA0470" w:rsidRPr="00DA0470">
        <w:t xml:space="preserve">former members of the </w:t>
      </w:r>
      <w:r w:rsidR="00DA0470">
        <w:t>s</w:t>
      </w:r>
      <w:r w:rsidR="00DA0470" w:rsidRPr="00DA0470">
        <w:t xml:space="preserve">ecurity </w:t>
      </w:r>
      <w:r w:rsidR="00DA0470">
        <w:t>s</w:t>
      </w:r>
      <w:r w:rsidR="00DA0470" w:rsidRPr="00DA0470">
        <w:t>ervice</w:t>
      </w:r>
      <w:r w:rsidR="002C0DC0">
        <w:t>s</w:t>
      </w:r>
      <w:r w:rsidR="00DA0470" w:rsidRPr="00DA0470">
        <w:t xml:space="preserve"> and </w:t>
      </w:r>
      <w:r w:rsidR="00DA0470">
        <w:t xml:space="preserve">the fourth to </w:t>
      </w:r>
      <w:r w:rsidR="00DA0470" w:rsidRPr="00DA0470">
        <w:t>a former PPS prosecutor</w:t>
      </w:r>
      <w:r w:rsidR="00DA0470">
        <w:t>. The latter three’s alleged offence was</w:t>
      </w:r>
      <w:r w:rsidR="00DA0470" w:rsidRPr="00DA0470">
        <w:t xml:space="preserve"> misconduct in public office</w:t>
      </w:r>
      <w:r w:rsidR="00DA0470">
        <w:t xml:space="preserve"> </w:t>
      </w:r>
      <w:r w:rsidR="00DD5C0B">
        <w:t>around</w:t>
      </w:r>
      <w:r w:rsidR="00303F31">
        <w:t xml:space="preserve"> the</w:t>
      </w:r>
      <w:r w:rsidR="00DA0470">
        <w:t xml:space="preserve"> decision</w:t>
      </w:r>
      <w:r w:rsidR="00DA0470" w:rsidRPr="00DA0470">
        <w:t xml:space="preserve"> not to prosecute that </w:t>
      </w:r>
      <w:r w:rsidR="002C0DC0">
        <w:t xml:space="preserve">first </w:t>
      </w:r>
      <w:r w:rsidR="00DA0470" w:rsidRPr="00DA0470">
        <w:t xml:space="preserve">individual in 2007. </w:t>
      </w:r>
      <w:r>
        <w:t xml:space="preserve">Others </w:t>
      </w:r>
      <w:r w:rsidR="00303F31">
        <w:t xml:space="preserve">from Kenova </w:t>
      </w:r>
      <w:r>
        <w:t xml:space="preserve">are </w:t>
      </w:r>
      <w:r w:rsidR="00DA0470">
        <w:t>still being considered</w:t>
      </w:r>
      <w:r>
        <w:t xml:space="preserve"> </w:t>
      </w:r>
      <w:r w:rsidR="00303F31">
        <w:t>on both</w:t>
      </w:r>
      <w:r>
        <w:t xml:space="preserve"> military and IRA</w:t>
      </w:r>
      <w:r w:rsidR="00DA0470">
        <w:t xml:space="preserve"> personnel and yet more </w:t>
      </w:r>
      <w:r w:rsidR="002C0DC0">
        <w:t>are</w:t>
      </w:r>
      <w:r w:rsidR="00303F31">
        <w:t xml:space="preserve"> to be submitted. Boutcher</w:t>
      </w:r>
      <w:r w:rsidR="00DA0470">
        <w:t xml:space="preserve"> has </w:t>
      </w:r>
      <w:r w:rsidR="00303F31">
        <w:t xml:space="preserve">recently </w:t>
      </w:r>
      <w:r w:rsidR="00DA0470">
        <w:t>extended his investigations to various deaths in the Republic</w:t>
      </w:r>
      <w:r w:rsidR="00303F31">
        <w:t>,</w:t>
      </w:r>
      <w:r w:rsidR="00DD5C0B">
        <w:t xml:space="preserve"> </w:t>
      </w:r>
      <w:r w:rsidR="001F4EB4">
        <w:t xml:space="preserve">also </w:t>
      </w:r>
      <w:r w:rsidR="00DA0470">
        <w:t>linked to Loyalists. Jon Boutcher</w:t>
      </w:r>
      <w:r w:rsidR="002C0DC0">
        <w:t>,</w:t>
      </w:r>
      <w:r w:rsidR="00DA0470">
        <w:t xml:space="preserve"> very much the English policeman</w:t>
      </w:r>
      <w:r w:rsidR="002C0DC0">
        <w:t>,</w:t>
      </w:r>
      <w:r w:rsidR="00DA0470">
        <w:t xml:space="preserve"> is political in that he sees his mission as completing that part of the GFA that was </w:t>
      </w:r>
      <w:r w:rsidR="002C0DC0">
        <w:t>omitted</w:t>
      </w:r>
      <w:r w:rsidR="00DA0470">
        <w:t xml:space="preserve"> in 1998 – legacy.</w:t>
      </w:r>
      <w:r w:rsidR="001F4EB4">
        <w:t xml:space="preserve"> He is also assiduous in tracking alleged </w:t>
      </w:r>
      <w:r w:rsidR="00303F31">
        <w:t>state forces</w:t>
      </w:r>
      <w:r w:rsidR="002C0DC0">
        <w:t>’</w:t>
      </w:r>
      <w:r w:rsidR="00303F31">
        <w:t xml:space="preserve"> </w:t>
      </w:r>
      <w:r w:rsidR="001F4EB4">
        <w:t>misconduct.</w:t>
      </w:r>
    </w:p>
    <w:p w:rsidR="00263A2F" w:rsidRDefault="00673E0C" w:rsidP="00673E0C">
      <w:pPr>
        <w:pStyle w:val="NoSpacing"/>
        <w:ind w:firstLine="720"/>
        <w:jc w:val="both"/>
      </w:pPr>
      <w:r>
        <w:t xml:space="preserve">After </w:t>
      </w:r>
      <w:r w:rsidR="001F4EB4">
        <w:t xml:space="preserve">Peter </w:t>
      </w:r>
      <w:r>
        <w:t>Hain</w:t>
      </w:r>
      <w:r w:rsidR="00981C5C">
        <w:t>’s Bill</w:t>
      </w:r>
      <w:r>
        <w:t xml:space="preserve"> in 2005</w:t>
      </w:r>
      <w:r w:rsidR="00DC5766">
        <w:t>,</w:t>
      </w:r>
      <w:r w:rsidR="004F5BD0">
        <w:t xml:space="preserve"> </w:t>
      </w:r>
      <w:r w:rsidR="0026397C">
        <w:t>we</w:t>
      </w:r>
      <w:r w:rsidR="00263A2F">
        <w:t xml:space="preserve"> had </w:t>
      </w:r>
      <w:r w:rsidR="004637FA">
        <w:t xml:space="preserve">the </w:t>
      </w:r>
      <w:r w:rsidR="0096474C">
        <w:t xml:space="preserve">2008 </w:t>
      </w:r>
      <w:r w:rsidR="00450408">
        <w:t xml:space="preserve">report </w:t>
      </w:r>
      <w:r w:rsidR="00CC42FB">
        <w:t>by Archbishop Robin Eames and Dennis Bradley</w:t>
      </w:r>
      <w:r>
        <w:t xml:space="preserve">’s </w:t>
      </w:r>
      <w:r w:rsidR="00450408">
        <w:t>‘</w:t>
      </w:r>
      <w:r w:rsidR="0096474C" w:rsidRPr="0096474C">
        <w:t>Consultative Group on the Past</w:t>
      </w:r>
      <w:r w:rsidR="00450408">
        <w:t>’</w:t>
      </w:r>
      <w:r w:rsidR="007276D2" w:rsidRPr="007276D2">
        <w:t xml:space="preserve"> </w:t>
      </w:r>
      <w:r w:rsidR="007276D2">
        <w:t>which foundered over its proposal to offer a £12,000 ‘recognition payment’ to victims of the Troubles</w:t>
      </w:r>
      <w:r w:rsidR="0096474C">
        <w:t>;</w:t>
      </w:r>
      <w:r w:rsidR="004637FA">
        <w:t xml:space="preserve"> </w:t>
      </w:r>
      <w:r w:rsidR="00263A2F">
        <w:t xml:space="preserve">the </w:t>
      </w:r>
      <w:r w:rsidR="004637FA">
        <w:t>Haass</w:t>
      </w:r>
      <w:r w:rsidR="00263A2F">
        <w:t>/O’</w:t>
      </w:r>
      <w:r w:rsidR="0096474C">
        <w:t>Sulliva</w:t>
      </w:r>
      <w:r w:rsidR="00263A2F">
        <w:t>n report</w:t>
      </w:r>
      <w:r w:rsidR="00DC5766">
        <w:t xml:space="preserve"> of 31 December 2013 entitled</w:t>
      </w:r>
      <w:r w:rsidR="0096474C">
        <w:t xml:space="preserve"> </w:t>
      </w:r>
      <w:r w:rsidR="004F5BD0">
        <w:t>‘A Proposed Agreement’;</w:t>
      </w:r>
      <w:r w:rsidR="004637FA">
        <w:t xml:space="preserve"> </w:t>
      </w:r>
      <w:r w:rsidR="00263A2F">
        <w:t xml:space="preserve">the </w:t>
      </w:r>
      <w:r w:rsidR="004637FA">
        <w:t>Stormont House Agreement</w:t>
      </w:r>
      <w:r w:rsidR="0096474C">
        <w:t xml:space="preserve"> </w:t>
      </w:r>
      <w:r w:rsidR="00622009">
        <w:t xml:space="preserve">(SHA) </w:t>
      </w:r>
      <w:r w:rsidR="0096474C">
        <w:t>of 23 December 2014</w:t>
      </w:r>
      <w:r w:rsidR="004F5BD0">
        <w:t>;</w:t>
      </w:r>
      <w:r w:rsidR="004637FA">
        <w:t xml:space="preserve"> </w:t>
      </w:r>
      <w:r w:rsidR="007276D2" w:rsidRPr="004F5BD0">
        <w:t>Teresa Villiers</w:t>
      </w:r>
      <w:r w:rsidR="007276D2">
        <w:t>’</w:t>
      </w:r>
      <w:r w:rsidR="002C0DC0">
        <w:t>s</w:t>
      </w:r>
      <w:r w:rsidR="007276D2" w:rsidRPr="004F5BD0">
        <w:t xml:space="preserve"> </w:t>
      </w:r>
      <w:r w:rsidR="007276D2">
        <w:t>‘</w:t>
      </w:r>
      <w:r w:rsidR="004F5BD0" w:rsidRPr="004F5BD0">
        <w:t>Fresh Start’ Agreement of 17 November 2015</w:t>
      </w:r>
      <w:r w:rsidR="004F5BD0">
        <w:t>;</w:t>
      </w:r>
      <w:r w:rsidR="004F5BD0" w:rsidRPr="004F5BD0">
        <w:t xml:space="preserve"> </w:t>
      </w:r>
      <w:r w:rsidR="0096474C">
        <w:t xml:space="preserve">and then </w:t>
      </w:r>
      <w:r w:rsidR="00450408">
        <w:t>Karen Bradley’s</w:t>
      </w:r>
      <w:r w:rsidR="00263A2F">
        <w:t xml:space="preserve"> NIO draft </w:t>
      </w:r>
      <w:r w:rsidR="00981C5C">
        <w:t>L</w:t>
      </w:r>
      <w:r w:rsidR="00263A2F">
        <w:t>egacy Bill</w:t>
      </w:r>
      <w:r w:rsidR="00DC5766">
        <w:t xml:space="preserve"> published </w:t>
      </w:r>
      <w:r w:rsidR="007276D2">
        <w:t>for consultation</w:t>
      </w:r>
      <w:r w:rsidR="007276D2" w:rsidRPr="0026397C">
        <w:t xml:space="preserve"> </w:t>
      </w:r>
      <w:r w:rsidR="004710D7">
        <w:t xml:space="preserve">on 11 May 2018 </w:t>
      </w:r>
      <w:r w:rsidR="0026397C">
        <w:t>under the title ‘</w:t>
      </w:r>
      <w:r w:rsidR="0026397C" w:rsidRPr="00A90669">
        <w:t>Addressing the Legacy of Northern Ireland's Past</w:t>
      </w:r>
      <w:r w:rsidR="0026397C">
        <w:t>’</w:t>
      </w:r>
      <w:r w:rsidR="002C0DC0">
        <w:t>. It</w:t>
      </w:r>
      <w:r w:rsidR="004710D7">
        <w:t xml:space="preserve"> advanced </w:t>
      </w:r>
      <w:r w:rsidR="00981C5C">
        <w:t>in July 2019</w:t>
      </w:r>
      <w:r w:rsidR="00B77C89">
        <w:t xml:space="preserve"> </w:t>
      </w:r>
      <w:r w:rsidR="004710D7">
        <w:t>to</w:t>
      </w:r>
      <w:r w:rsidR="00450408">
        <w:t xml:space="preserve"> a summary of </w:t>
      </w:r>
      <w:r w:rsidR="002C0DC0">
        <w:t xml:space="preserve">consultation </w:t>
      </w:r>
      <w:r w:rsidR="00450408">
        <w:t>responses</w:t>
      </w:r>
      <w:r w:rsidR="00963C7B">
        <w:t>.</w:t>
      </w:r>
    </w:p>
    <w:p w:rsidR="000E12BC" w:rsidRDefault="0096474C" w:rsidP="001F4EB4">
      <w:pPr>
        <w:pStyle w:val="NoSpacing"/>
        <w:ind w:firstLine="720"/>
        <w:jc w:val="both"/>
      </w:pPr>
      <w:r>
        <w:t>Some important points need to be noted about the various efforts</w:t>
      </w:r>
      <w:r w:rsidR="007276D2">
        <w:t xml:space="preserve"> by successive Secretaries of State</w:t>
      </w:r>
      <w:r>
        <w:t xml:space="preserve">. </w:t>
      </w:r>
      <w:r w:rsidR="001F4EB4">
        <w:t xml:space="preserve">A </w:t>
      </w:r>
      <w:r w:rsidR="00FD5FA8">
        <w:t xml:space="preserve">significant </w:t>
      </w:r>
      <w:r w:rsidR="0086135D">
        <w:t xml:space="preserve">political </w:t>
      </w:r>
      <w:r w:rsidR="00FD5FA8">
        <w:t xml:space="preserve">problem </w:t>
      </w:r>
      <w:r w:rsidR="007276D2">
        <w:t>after Eames Bradley</w:t>
      </w:r>
      <w:r w:rsidR="001F4EB4">
        <w:t xml:space="preserve"> in relation to victims’ </w:t>
      </w:r>
      <w:proofErr w:type="gramStart"/>
      <w:r w:rsidR="001F4EB4">
        <w:t>pensions,</w:t>
      </w:r>
      <w:proofErr w:type="gramEnd"/>
      <w:r w:rsidR="001F4EB4">
        <w:t xml:space="preserve"> </w:t>
      </w:r>
      <w:r w:rsidR="00FD5FA8">
        <w:t xml:space="preserve">was what constitutes a </w:t>
      </w:r>
      <w:r w:rsidR="007276D2">
        <w:t>‘</w:t>
      </w:r>
      <w:r w:rsidR="00FD5FA8">
        <w:t>victim</w:t>
      </w:r>
      <w:r w:rsidR="007276D2">
        <w:t>’</w:t>
      </w:r>
      <w:r w:rsidR="001F4EB4">
        <w:t>,</w:t>
      </w:r>
      <w:r w:rsidR="00FD5FA8">
        <w:t xml:space="preserve"> and can a terrorist be one. </w:t>
      </w:r>
      <w:r w:rsidR="007276D2">
        <w:t xml:space="preserve">The definition in legislation came to vary. The </w:t>
      </w:r>
      <w:r w:rsidR="007276D2" w:rsidRPr="007276D2">
        <w:t>Victims and Survivors (Northern Ireland) Order 2006 equate</w:t>
      </w:r>
      <w:r w:rsidR="007276D2">
        <w:t>d</w:t>
      </w:r>
      <w:r w:rsidR="007276D2" w:rsidRPr="007276D2">
        <w:t xml:space="preserve"> injured perpetrators with the</w:t>
      </w:r>
      <w:r w:rsidR="000E12BC">
        <w:t>ir</w:t>
      </w:r>
      <w:r w:rsidR="007276D2" w:rsidRPr="007276D2">
        <w:t xml:space="preserve"> innocent victims</w:t>
      </w:r>
      <w:r w:rsidR="00AF66D4">
        <w:t>,</w:t>
      </w:r>
      <w:r w:rsidR="000E12BC">
        <w:t xml:space="preserve"> something the Victims Commissioner</w:t>
      </w:r>
      <w:r w:rsidR="00AF66D4">
        <w:t>, Judith Thompson,</w:t>
      </w:r>
      <w:r w:rsidR="000E12BC">
        <w:t xml:space="preserve"> stood over</w:t>
      </w:r>
      <w:r w:rsidR="007276D2">
        <w:t xml:space="preserve">. </w:t>
      </w:r>
      <w:r w:rsidR="00FD5FA8">
        <w:t>Th</w:t>
      </w:r>
      <w:r w:rsidR="007276D2">
        <w:t xml:space="preserve">e piece of legislation </w:t>
      </w:r>
      <w:r w:rsidR="000E12BC">
        <w:t xml:space="preserve">introducing pensions </w:t>
      </w:r>
      <w:r w:rsidR="007276D2">
        <w:t>finally reached the statute book</w:t>
      </w:r>
      <w:r w:rsidR="00FD5FA8">
        <w:t xml:space="preserve"> </w:t>
      </w:r>
      <w:r w:rsidR="000E12BC">
        <w:t>in January 2020</w:t>
      </w:r>
      <w:r w:rsidR="0086135D">
        <w:t xml:space="preserve">. </w:t>
      </w:r>
      <w:r w:rsidR="000E12BC" w:rsidRPr="000E12BC">
        <w:t>To qualify</w:t>
      </w:r>
      <w:r w:rsidR="00AF66D4">
        <w:t xml:space="preserve"> however</w:t>
      </w:r>
      <w:r w:rsidR="000E12BC" w:rsidRPr="000E12BC">
        <w:t>, you have to have an injury which is severe and permanent</w:t>
      </w:r>
      <w:r w:rsidR="002C0DC0">
        <w:t>,</w:t>
      </w:r>
      <w:r w:rsidR="000E12BC" w:rsidRPr="000E12BC">
        <w:t xml:space="preserve"> </w:t>
      </w:r>
      <w:r w:rsidR="00AF66D4">
        <w:t>and</w:t>
      </w:r>
      <w:r w:rsidR="000E12BC" w:rsidRPr="000E12BC">
        <w:t xml:space="preserve"> caused by no fault of your own.</w:t>
      </w:r>
      <w:r w:rsidR="000E12BC">
        <w:t xml:space="preserve"> </w:t>
      </w:r>
    </w:p>
    <w:p w:rsidR="00FD5FA8" w:rsidRDefault="005913EE" w:rsidP="004710D7">
      <w:pPr>
        <w:pStyle w:val="NoSpacing"/>
        <w:ind w:firstLine="720"/>
        <w:jc w:val="both"/>
      </w:pPr>
      <w:r>
        <w:t>Victims’</w:t>
      </w:r>
      <w:r w:rsidR="000E12BC">
        <w:t xml:space="preserve"> </w:t>
      </w:r>
      <w:r w:rsidR="0086135D">
        <w:t>pensions’ costs</w:t>
      </w:r>
      <w:r w:rsidR="000E12BC">
        <w:t xml:space="preserve">, as with all </w:t>
      </w:r>
      <w:r w:rsidR="0086135D">
        <w:t>money schemes</w:t>
      </w:r>
      <w:r w:rsidR="000E12BC">
        <w:t>,</w:t>
      </w:r>
      <w:r w:rsidR="00FD5FA8">
        <w:t xml:space="preserve"> </w:t>
      </w:r>
      <w:r w:rsidR="000E12BC">
        <w:t>will inevitably balloon</w:t>
      </w:r>
      <w:r w:rsidR="001F4EB4">
        <w:t>. It has been</w:t>
      </w:r>
      <w:r w:rsidR="000E12BC">
        <w:t xml:space="preserve"> </w:t>
      </w:r>
      <w:r w:rsidR="00AF66D4">
        <w:t xml:space="preserve">officially </w:t>
      </w:r>
      <w:r w:rsidR="000E12BC">
        <w:t xml:space="preserve">suggested </w:t>
      </w:r>
      <w:r w:rsidR="001F4EB4">
        <w:t>the costs will rise to</w:t>
      </w:r>
      <w:r w:rsidR="000E12BC">
        <w:t xml:space="preserve"> over </w:t>
      </w:r>
      <w:r w:rsidR="001F4EB4">
        <w:t xml:space="preserve">one </w:t>
      </w:r>
      <w:r w:rsidR="000E12BC">
        <w:t>billion pounds</w:t>
      </w:r>
      <w:r w:rsidR="00FD5FA8">
        <w:t xml:space="preserve"> when psychological damage</w:t>
      </w:r>
      <w:r>
        <w:t>,</w:t>
      </w:r>
      <w:r w:rsidR="00FD5FA8">
        <w:t xml:space="preserve"> down the generations </w:t>
      </w:r>
      <w:r>
        <w:t>is</w:t>
      </w:r>
      <w:r w:rsidR="00FD5FA8">
        <w:t xml:space="preserve"> included. Who </w:t>
      </w:r>
      <w:r w:rsidR="0086135D">
        <w:t xml:space="preserve">ends up paying </w:t>
      </w:r>
      <w:r w:rsidR="00FD5FA8">
        <w:t xml:space="preserve">the bill </w:t>
      </w:r>
      <w:r w:rsidR="0086135D">
        <w:t xml:space="preserve">(Westminster or Stormont) </w:t>
      </w:r>
      <w:r w:rsidR="000E12BC">
        <w:t>was</w:t>
      </w:r>
      <w:r w:rsidR="00FD5FA8">
        <w:t xml:space="preserve"> of course </w:t>
      </w:r>
      <w:proofErr w:type="gramStart"/>
      <w:r w:rsidR="00FD5FA8">
        <w:t>a</w:t>
      </w:r>
      <w:proofErr w:type="gramEnd"/>
      <w:r w:rsidR="00FD5FA8">
        <w:t xml:space="preserve"> unresolved question</w:t>
      </w:r>
      <w:r w:rsidR="000E12BC">
        <w:t xml:space="preserve"> which the courts eventually </w:t>
      </w:r>
      <w:r w:rsidR="00AF66D4">
        <w:t>decided</w:t>
      </w:r>
      <w:r w:rsidR="000E12BC">
        <w:t>, forcing the Sinn Fein Minister of Finance to agree to underwrite</w:t>
      </w:r>
      <w:r>
        <w:t xml:space="preserve"> the funding</w:t>
      </w:r>
      <w:r w:rsidR="000E12BC">
        <w:t>.</w:t>
      </w:r>
      <w:r w:rsidR="00FD5FA8">
        <w:t xml:space="preserve"> </w:t>
      </w:r>
      <w:r w:rsidR="000E12BC">
        <w:t xml:space="preserve">The scheme opened for registration in June 2020. The Secretary of State, </w:t>
      </w:r>
      <w:r w:rsidR="0086135D">
        <w:t>Brandon Lewis</w:t>
      </w:r>
      <w:r w:rsidR="000E12BC">
        <w:t>,</w:t>
      </w:r>
      <w:r w:rsidR="0086135D">
        <w:t xml:space="preserve"> did offe</w:t>
      </w:r>
      <w:r w:rsidR="000E12BC">
        <w:t xml:space="preserve">r to divert some announced but </w:t>
      </w:r>
      <w:r w:rsidR="00CC42FB">
        <w:t>unspent</w:t>
      </w:r>
      <w:r w:rsidR="0086135D">
        <w:t xml:space="preserve"> </w:t>
      </w:r>
      <w:r w:rsidR="000E12BC">
        <w:t>millions of legacy money</w:t>
      </w:r>
      <w:r w:rsidR="0086135D">
        <w:t xml:space="preserve"> </w:t>
      </w:r>
      <w:r>
        <w:t xml:space="preserve">to </w:t>
      </w:r>
      <w:r w:rsidR="00AF66D4">
        <w:t>the</w:t>
      </w:r>
      <w:r>
        <w:t xml:space="preserve"> pensions</w:t>
      </w:r>
      <w:r w:rsidR="00AF66D4">
        <w:t>,</w:t>
      </w:r>
      <w:r w:rsidR="0086135D">
        <w:t xml:space="preserve"> as a on</w:t>
      </w:r>
      <w:r w:rsidR="00CC42FB">
        <w:t>e</w:t>
      </w:r>
      <w:r w:rsidR="001F7166">
        <w:t>-</w:t>
      </w:r>
      <w:r w:rsidR="0086135D">
        <w:t xml:space="preserve">off act of </w:t>
      </w:r>
      <w:r w:rsidR="00CC42FB">
        <w:t xml:space="preserve">Treasury </w:t>
      </w:r>
      <w:r w:rsidR="0086135D">
        <w:t>generosity.</w:t>
      </w:r>
      <w:r w:rsidR="00FD5FA8">
        <w:t xml:space="preserve"> </w:t>
      </w:r>
      <w:r w:rsidR="000E12BC">
        <w:t>This was a straw in the wind as to the NIO’s changing min</w:t>
      </w:r>
      <w:r>
        <w:t>d</w:t>
      </w:r>
      <w:r w:rsidR="000E12BC">
        <w:t xml:space="preserve">set on spending limitless </w:t>
      </w:r>
      <w:r>
        <w:t xml:space="preserve">future </w:t>
      </w:r>
      <w:r w:rsidR="000E12BC">
        <w:t xml:space="preserve">amounts </w:t>
      </w:r>
      <w:r>
        <w:t>on legacy</w:t>
      </w:r>
      <w:r w:rsidR="002C0DC0">
        <w:t xml:space="preserve"> re-investigation</w:t>
      </w:r>
      <w:r w:rsidR="000E12BC">
        <w:t>.</w:t>
      </w:r>
    </w:p>
    <w:p w:rsidR="00CC42FB" w:rsidRDefault="00CC42FB" w:rsidP="004710D7">
      <w:pPr>
        <w:pStyle w:val="NoSpacing"/>
        <w:ind w:firstLine="720"/>
        <w:jc w:val="both"/>
      </w:pPr>
      <w:r>
        <w:t>It has to be said</w:t>
      </w:r>
      <w:r w:rsidR="00FD5FA8">
        <w:t xml:space="preserve"> that that under </w:t>
      </w:r>
      <w:r w:rsidR="00275FCC">
        <w:t>the</w:t>
      </w:r>
      <w:r w:rsidR="00FD5FA8">
        <w:t xml:space="preserve"> mandatory power sharing coalition in Northern Ireland </w:t>
      </w:r>
      <w:r>
        <w:t>which</w:t>
      </w:r>
      <w:r w:rsidR="00FD5FA8">
        <w:t xml:space="preserve"> g</w:t>
      </w:r>
      <w:r>
        <w:t xml:space="preserve">ave us </w:t>
      </w:r>
      <w:r w:rsidR="001F4EB4">
        <w:t xml:space="preserve">again </w:t>
      </w:r>
      <w:r w:rsidR="00FD5FA8">
        <w:t xml:space="preserve">legislative devolution there are two iron laws: </w:t>
      </w:r>
    </w:p>
    <w:p w:rsidR="00CC42FB" w:rsidRDefault="00CC42FB" w:rsidP="00CC42FB">
      <w:pPr>
        <w:pStyle w:val="NoSpacing"/>
        <w:numPr>
          <w:ilvl w:val="0"/>
          <w:numId w:val="2"/>
        </w:numPr>
        <w:jc w:val="both"/>
      </w:pPr>
      <w:r>
        <w:lastRenderedPageBreak/>
        <w:t>N</w:t>
      </w:r>
      <w:r w:rsidR="00FD5FA8">
        <w:t>othing contentious can be legislated at Stormont</w:t>
      </w:r>
      <w:r>
        <w:t>,</w:t>
      </w:r>
      <w:r w:rsidR="00FD5FA8">
        <w:t xml:space="preserve"> hence welfare reform, abortion</w:t>
      </w:r>
      <w:r>
        <w:t xml:space="preserve"> decriminalisation</w:t>
      </w:r>
      <w:r w:rsidR="00FD5FA8">
        <w:t>, gay marriage and</w:t>
      </w:r>
      <w:r>
        <w:t>,</w:t>
      </w:r>
      <w:r w:rsidR="00FD5FA8">
        <w:t xml:space="preserve"> significantly</w:t>
      </w:r>
      <w:r>
        <w:t>,</w:t>
      </w:r>
      <w:r w:rsidR="00FD5FA8">
        <w:t xml:space="preserve"> legacy have</w:t>
      </w:r>
      <w:r>
        <w:t xml:space="preserve"> been passed to Westminster</w:t>
      </w:r>
      <w:r w:rsidR="00DF150E">
        <w:t xml:space="preserve"> </w:t>
      </w:r>
      <w:r w:rsidR="00AF66D4">
        <w:t xml:space="preserve">for it </w:t>
      </w:r>
      <w:r w:rsidR="00DF150E">
        <w:t>to do the needful</w:t>
      </w:r>
      <w:r>
        <w:t>.</w:t>
      </w:r>
    </w:p>
    <w:p w:rsidR="004F5BD0" w:rsidRDefault="00CC42FB" w:rsidP="00CC42FB">
      <w:pPr>
        <w:pStyle w:val="NoSpacing"/>
        <w:numPr>
          <w:ilvl w:val="0"/>
          <w:numId w:val="2"/>
        </w:numPr>
        <w:jc w:val="both"/>
      </w:pPr>
      <w:r>
        <w:t>A</w:t>
      </w:r>
      <w:r w:rsidR="00FD5FA8">
        <w:t xml:space="preserve">ll new projects </w:t>
      </w:r>
      <w:r>
        <w:t>require</w:t>
      </w:r>
      <w:r w:rsidR="00FD5FA8">
        <w:t xml:space="preserve"> money from </w:t>
      </w:r>
      <w:r>
        <w:t xml:space="preserve">the </w:t>
      </w:r>
      <w:r w:rsidR="00FD5FA8">
        <w:t xml:space="preserve">Treasury </w:t>
      </w:r>
      <w:r w:rsidR="00E84FA7">
        <w:t xml:space="preserve">in London </w:t>
      </w:r>
      <w:r w:rsidR="00FD5FA8">
        <w:t>as no</w:t>
      </w:r>
      <w:r>
        <w:t xml:space="preserve"> </w:t>
      </w:r>
      <w:r w:rsidR="00AF66D4">
        <w:t xml:space="preserve">extra </w:t>
      </w:r>
      <w:r>
        <w:t>funds</w:t>
      </w:r>
      <w:r w:rsidR="00FD5FA8">
        <w:t xml:space="preserve"> can ever be raised locally</w:t>
      </w:r>
      <w:r>
        <w:t xml:space="preserve"> by taxation</w:t>
      </w:r>
      <w:r w:rsidR="00FD5FA8">
        <w:t>.</w:t>
      </w:r>
    </w:p>
    <w:p w:rsidR="00CC42FB" w:rsidRDefault="00CC42FB" w:rsidP="00CC42FB">
      <w:pPr>
        <w:pStyle w:val="NoSpacing"/>
        <w:ind w:firstLine="720"/>
        <w:jc w:val="both"/>
      </w:pPr>
      <w:r>
        <w:t xml:space="preserve">Stormont is not about </w:t>
      </w:r>
      <w:r w:rsidR="007276D2">
        <w:t xml:space="preserve">normal government </w:t>
      </w:r>
      <w:r>
        <w:t xml:space="preserve">but </w:t>
      </w:r>
      <w:r w:rsidR="007276D2">
        <w:t xml:space="preserve">about </w:t>
      </w:r>
      <w:r>
        <w:t xml:space="preserve">dividing </w:t>
      </w:r>
      <w:r w:rsidR="007276D2">
        <w:t xml:space="preserve">up </w:t>
      </w:r>
      <w:r>
        <w:t>the cash Westminster provides</w:t>
      </w:r>
      <w:r w:rsidR="002C0DC0">
        <w:t>,</w:t>
      </w:r>
      <w:r w:rsidR="00AF66D4">
        <w:t xml:space="preserve"> </w:t>
      </w:r>
      <w:r w:rsidR="001F4EB4">
        <w:t>something</w:t>
      </w:r>
      <w:r w:rsidR="00AF66D4">
        <w:t xml:space="preserve"> the two governing parties can usually </w:t>
      </w:r>
      <w:r w:rsidR="001F4EB4">
        <w:t xml:space="preserve">come to </w:t>
      </w:r>
      <w:r w:rsidR="00AF66D4">
        <w:t>agree on</w:t>
      </w:r>
      <w:r>
        <w:t>.</w:t>
      </w:r>
    </w:p>
    <w:p w:rsidR="00815821" w:rsidRDefault="00FD5FA8" w:rsidP="001F7166">
      <w:pPr>
        <w:pStyle w:val="NoSpacing"/>
        <w:ind w:firstLine="720"/>
        <w:jc w:val="both"/>
      </w:pPr>
      <w:r>
        <w:t xml:space="preserve">The </w:t>
      </w:r>
      <w:r w:rsidR="001F7166">
        <w:t xml:space="preserve">report by </w:t>
      </w:r>
      <w:r w:rsidR="003A7C65">
        <w:t>former State Department staffer</w:t>
      </w:r>
      <w:r w:rsidR="00AF66D4">
        <w:t xml:space="preserve"> </w:t>
      </w:r>
      <w:r w:rsidR="00E84FA7">
        <w:t>Richard</w:t>
      </w:r>
      <w:r w:rsidR="00E84FA7" w:rsidRPr="004F5BD0">
        <w:t xml:space="preserve"> </w:t>
      </w:r>
      <w:r w:rsidR="00E84FA7">
        <w:t xml:space="preserve">Haass </w:t>
      </w:r>
      <w:r w:rsidR="003A7C65">
        <w:t xml:space="preserve">and his colleague Megan O’Sullivan </w:t>
      </w:r>
      <w:r w:rsidR="00E84FA7">
        <w:t>in late 2013</w:t>
      </w:r>
      <w:r w:rsidR="003A7C65">
        <w:t xml:space="preserve"> </w:t>
      </w:r>
      <w:r w:rsidR="001F4EB4">
        <w:t>for</w:t>
      </w:r>
      <w:r w:rsidR="00E84FA7">
        <w:t xml:space="preserve"> the </w:t>
      </w:r>
      <w:r w:rsidR="00AF66D4">
        <w:t>‘</w:t>
      </w:r>
      <w:r w:rsidR="004F5BD0" w:rsidRPr="004F5BD0">
        <w:t>Panel of Parties in the Northern Ireland Executive</w:t>
      </w:r>
      <w:r w:rsidR="001F7166">
        <w:t xml:space="preserve">’ </w:t>
      </w:r>
      <w:r w:rsidR="0096474C">
        <w:t xml:space="preserve">was rejected by the Alliance Party, the DUP and the </w:t>
      </w:r>
      <w:r w:rsidR="002C0DC0">
        <w:t>Ulster Unionist Party (</w:t>
      </w:r>
      <w:r w:rsidR="0096474C">
        <w:t>UUP</w:t>
      </w:r>
      <w:r w:rsidR="002C0DC0">
        <w:t>)</w:t>
      </w:r>
      <w:r w:rsidR="0096474C">
        <w:t xml:space="preserve">. </w:t>
      </w:r>
      <w:r w:rsidR="00301CC0">
        <w:t xml:space="preserve">I was one of the </w:t>
      </w:r>
      <w:r w:rsidR="000B5912">
        <w:t>two UUP representatives on the P</w:t>
      </w:r>
      <w:r w:rsidR="00301CC0">
        <w:t>anel and saw how the parties operated. The key role of the SDLP is worth noting. They had limited aims and pressed them home</w:t>
      </w:r>
      <w:r w:rsidR="00D02268">
        <w:t xml:space="preserve"> doggedly</w:t>
      </w:r>
      <w:r w:rsidR="00E84FA7">
        <w:t>,</w:t>
      </w:r>
      <w:r w:rsidR="00D02268">
        <w:t xml:space="preserve"> seeking</w:t>
      </w:r>
      <w:r w:rsidR="002D09D1">
        <w:t>,</w:t>
      </w:r>
      <w:r w:rsidR="00D02268" w:rsidRPr="00D02268">
        <w:t xml:space="preserve"> </w:t>
      </w:r>
      <w:r w:rsidR="00AF66D4">
        <w:t>successfully</w:t>
      </w:r>
      <w:r w:rsidR="002D09D1">
        <w:t>,</w:t>
      </w:r>
      <w:r w:rsidR="00AF66D4">
        <w:t xml:space="preserve"> </w:t>
      </w:r>
      <w:r w:rsidR="00D02268" w:rsidRPr="00D02268">
        <w:t>to get ‘patterns and themes’,</w:t>
      </w:r>
      <w:r w:rsidR="00D02268">
        <w:t xml:space="preserve"> in other words collusion</w:t>
      </w:r>
      <w:r w:rsidR="00D02268" w:rsidRPr="00D02268">
        <w:t xml:space="preserve">, into the new </w:t>
      </w:r>
      <w:r w:rsidR="002D09D1">
        <w:t xml:space="preserve">history </w:t>
      </w:r>
      <w:r w:rsidR="00D02268" w:rsidRPr="00D02268">
        <w:t>structures.</w:t>
      </w:r>
      <w:r w:rsidR="00D02268">
        <w:t xml:space="preserve"> </w:t>
      </w:r>
      <w:r w:rsidR="001D3EAD">
        <w:t>Haass proposed four new institutions the Historical Investigations Unit (HIU), the Oral History Archive (OHA), the grandly named In</w:t>
      </w:r>
      <w:r w:rsidR="00F511A3">
        <w:t>dependent</w:t>
      </w:r>
      <w:r w:rsidR="001D3EAD">
        <w:t xml:space="preserve"> Commission on Information Retrieval (ICIR), and the Implementation and Reconciliation Group (IRG).</w:t>
      </w:r>
    </w:p>
    <w:p w:rsidR="00D02268" w:rsidRDefault="004F049D" w:rsidP="004F049D">
      <w:pPr>
        <w:pStyle w:val="NoSpacing"/>
        <w:ind w:firstLine="720"/>
        <w:jc w:val="both"/>
      </w:pPr>
      <w:r>
        <w:t xml:space="preserve">As a biographer of Roger Casement, I am dubious of </w:t>
      </w:r>
      <w:r w:rsidR="00737F44">
        <w:t xml:space="preserve">the </w:t>
      </w:r>
      <w:r w:rsidR="00963C7B">
        <w:t xml:space="preserve">value of </w:t>
      </w:r>
      <w:r w:rsidR="002C0DC0">
        <w:t>an</w:t>
      </w:r>
      <w:r w:rsidR="00963C7B">
        <w:t xml:space="preserve"> </w:t>
      </w:r>
      <w:r w:rsidR="002065E6">
        <w:t xml:space="preserve">OHA </w:t>
      </w:r>
      <w:r>
        <w:t xml:space="preserve">knowing just how memories </w:t>
      </w:r>
      <w:r w:rsidR="00AF66D4">
        <w:t>differ</w:t>
      </w:r>
      <w:r>
        <w:t xml:space="preserve"> </w:t>
      </w:r>
      <w:r w:rsidR="002D09D1">
        <w:t>from</w:t>
      </w:r>
      <w:r w:rsidR="003A7C65">
        <w:t xml:space="preserve"> the</w:t>
      </w:r>
      <w:r w:rsidR="001F4EB4">
        <w:t xml:space="preserve"> documented facts</w:t>
      </w:r>
      <w:r>
        <w:t xml:space="preserve">. </w:t>
      </w:r>
      <w:r w:rsidR="00737F44">
        <w:t>It may</w:t>
      </w:r>
      <w:r>
        <w:t xml:space="preserve"> often </w:t>
      </w:r>
      <w:r w:rsidR="00737F44">
        <w:t xml:space="preserve">be </w:t>
      </w:r>
      <w:r>
        <w:t>innocen</w:t>
      </w:r>
      <w:r w:rsidR="00737F44">
        <w:t xml:space="preserve">t but </w:t>
      </w:r>
      <w:r w:rsidR="00E84FA7">
        <w:t xml:space="preserve">oral history or </w:t>
      </w:r>
      <w:r w:rsidR="002D09D1">
        <w:t xml:space="preserve">family </w:t>
      </w:r>
      <w:r w:rsidR="00E84FA7">
        <w:t>stories can</w:t>
      </w:r>
      <w:r w:rsidR="00815821">
        <w:t xml:space="preserve"> easily become</w:t>
      </w:r>
      <w:r>
        <w:t xml:space="preserve"> a vehicle for deceit and obfuscation</w:t>
      </w:r>
      <w:r w:rsidR="00E84FA7">
        <w:t>,</w:t>
      </w:r>
      <w:r w:rsidR="00737F44">
        <w:t xml:space="preserve"> not to mention unwarranted assertions about third parties</w:t>
      </w:r>
      <w:r>
        <w:t xml:space="preserve">. The </w:t>
      </w:r>
      <w:r w:rsidR="001F7166">
        <w:t xml:space="preserve">UUP </w:t>
      </w:r>
      <w:r>
        <w:t xml:space="preserve">long favoured the past being examined by historians but not in the </w:t>
      </w:r>
      <w:r w:rsidR="001F7166">
        <w:t xml:space="preserve">distorted </w:t>
      </w:r>
      <w:r>
        <w:t xml:space="preserve">form </w:t>
      </w:r>
      <w:r w:rsidR="00737F44">
        <w:t xml:space="preserve">eventually </w:t>
      </w:r>
      <w:r w:rsidR="00E84FA7">
        <w:t xml:space="preserve">proposed where patterns and themes would </w:t>
      </w:r>
      <w:r w:rsidR="003A7C65">
        <w:t xml:space="preserve">have </w:t>
      </w:r>
      <w:r w:rsidR="00E84FA7">
        <w:t>become</w:t>
      </w:r>
      <w:r>
        <w:t xml:space="preserve"> the major </w:t>
      </w:r>
      <w:r w:rsidR="002D09D1">
        <w:t xml:space="preserve">ancillary </w:t>
      </w:r>
      <w:r>
        <w:t>purpose of OHA researchers</w:t>
      </w:r>
      <w:r w:rsidR="001F4EB4">
        <w:t>. This was likely</w:t>
      </w:r>
      <w:r>
        <w:t xml:space="preserve"> despite</w:t>
      </w:r>
      <w:r w:rsidR="002C0DC0">
        <w:t>,</w:t>
      </w:r>
      <w:r>
        <w:t xml:space="preserve"> or perhaps because of</w:t>
      </w:r>
      <w:r w:rsidR="002C0DC0">
        <w:t>,</w:t>
      </w:r>
      <w:r>
        <w:t xml:space="preserve"> the </w:t>
      </w:r>
      <w:r w:rsidR="003A7C65">
        <w:t xml:space="preserve">proposed supervising </w:t>
      </w:r>
      <w:r w:rsidR="001D3EAD">
        <w:t>IRG</w:t>
      </w:r>
      <w:r w:rsidR="00E84FA7">
        <w:t>. Richard Haas</w:t>
      </w:r>
      <w:r w:rsidR="001F4EB4">
        <w:t>s</w:t>
      </w:r>
      <w:r w:rsidR="00E84FA7">
        <w:t xml:space="preserve"> returned to the US </w:t>
      </w:r>
      <w:r w:rsidR="003A7C65">
        <w:t xml:space="preserve">and his Council on Foreign Relations job, </w:t>
      </w:r>
      <w:r w:rsidR="00E84FA7">
        <w:t>undoubtedly angered at how his reputation had not been enhanced by a success.</w:t>
      </w:r>
    </w:p>
    <w:p w:rsidR="00E952FC" w:rsidRDefault="00041D00" w:rsidP="00E952FC">
      <w:pPr>
        <w:pStyle w:val="NoSpacing"/>
        <w:ind w:firstLine="720"/>
        <w:jc w:val="both"/>
      </w:pPr>
      <w:r>
        <w:t>The DUP had no</w:t>
      </w:r>
      <w:r w:rsidR="00D02268">
        <w:t xml:space="preserve"> visible aims</w:t>
      </w:r>
      <w:r w:rsidR="00815821">
        <w:t xml:space="preserve"> at Haass</w:t>
      </w:r>
      <w:r w:rsidR="00E95D97">
        <w:t xml:space="preserve"> and </w:t>
      </w:r>
      <w:r w:rsidR="00737F44">
        <w:t xml:space="preserve">over the years has agreed </w:t>
      </w:r>
      <w:r w:rsidR="00E95D97">
        <w:t>many of the dangerous proposals currently under review</w:t>
      </w:r>
      <w:r w:rsidR="00E952FC">
        <w:t>,</w:t>
      </w:r>
      <w:r w:rsidR="00E95D97">
        <w:t xml:space="preserve"> either through carelessness or in dea</w:t>
      </w:r>
      <w:r w:rsidR="00815821">
        <w:t>ls to enable it to get back int</w:t>
      </w:r>
      <w:r w:rsidR="00E95D97">
        <w:t xml:space="preserve">o coalition government. Its only </w:t>
      </w:r>
      <w:r w:rsidR="002C0DC0">
        <w:t xml:space="preserve">legacy </w:t>
      </w:r>
      <w:r w:rsidR="00E95D97">
        <w:t>achievement in twenty years</w:t>
      </w:r>
      <w:r w:rsidR="002C0DC0">
        <w:t xml:space="preserve"> -</w:t>
      </w:r>
      <w:r w:rsidR="00E95D97">
        <w:t xml:space="preserve"> under serious pressure </w:t>
      </w:r>
      <w:r w:rsidR="00815821">
        <w:t>from grassroots</w:t>
      </w:r>
      <w:r w:rsidR="003A7C65">
        <w:t xml:space="preserve"> activists</w:t>
      </w:r>
      <w:r w:rsidR="00737F44">
        <w:t>,</w:t>
      </w:r>
      <w:r w:rsidR="00815821">
        <w:t xml:space="preserve"> </w:t>
      </w:r>
      <w:r w:rsidR="00E95D97">
        <w:t xml:space="preserve">was to block the re-appointment of </w:t>
      </w:r>
      <w:r w:rsidR="00815821">
        <w:t xml:space="preserve">Judith Thompson </w:t>
      </w:r>
      <w:r w:rsidR="002C0DC0">
        <w:t xml:space="preserve">as Victims Commissioner </w:t>
      </w:r>
      <w:r w:rsidR="00815821">
        <w:t>(</w:t>
      </w:r>
      <w:r w:rsidR="00AF66D4">
        <w:t xml:space="preserve">as a face saving compromise </w:t>
      </w:r>
      <w:r w:rsidR="00815821">
        <w:t>her 2</w:t>
      </w:r>
      <w:r w:rsidR="00815821" w:rsidRPr="00815821">
        <w:rPr>
          <w:vertAlign w:val="superscript"/>
        </w:rPr>
        <w:t>nd</w:t>
      </w:r>
      <w:r w:rsidR="00815821">
        <w:t xml:space="preserve"> term was limited to a year)</w:t>
      </w:r>
      <w:r w:rsidR="00E952FC">
        <w:t xml:space="preserve">. </w:t>
      </w:r>
      <w:r w:rsidR="00AF66D4">
        <w:t>The then DUP</w:t>
      </w:r>
      <w:r w:rsidR="00E952FC">
        <w:t xml:space="preserve"> leader Arlene Foster </w:t>
      </w:r>
      <w:r w:rsidR="003A7C65">
        <w:t xml:space="preserve">did </w:t>
      </w:r>
      <w:r w:rsidR="00E952FC">
        <w:t>eventually st</w:t>
      </w:r>
      <w:r w:rsidR="003A7C65">
        <w:t>and</w:t>
      </w:r>
      <w:r w:rsidR="00E95D97">
        <w:t xml:space="preserve"> </w:t>
      </w:r>
      <w:r w:rsidR="00737F44">
        <w:t>aside</w:t>
      </w:r>
      <w:r w:rsidR="001F4EB4">
        <w:t xml:space="preserve"> from the</w:t>
      </w:r>
      <w:r w:rsidR="00E952FC">
        <w:t xml:space="preserve"> </w:t>
      </w:r>
      <w:r w:rsidR="00E95D97">
        <w:t xml:space="preserve">proposal </w:t>
      </w:r>
      <w:r w:rsidR="00737F44">
        <w:t>to create the unique</w:t>
      </w:r>
      <w:r w:rsidR="00E952FC">
        <w:t>,</w:t>
      </w:r>
      <w:r w:rsidR="00E95D97">
        <w:t xml:space="preserve"> </w:t>
      </w:r>
      <w:r w:rsidR="00E952FC">
        <w:t>retrospective, disciplinary o</w:t>
      </w:r>
      <w:r w:rsidR="00E95D97">
        <w:t>ffence of historic police misconduct</w:t>
      </w:r>
      <w:r w:rsidR="00E952FC">
        <w:t xml:space="preserve"> which was to be investigated by the HIU, a parallel police force for the past</w:t>
      </w:r>
      <w:r w:rsidR="002C0DC0">
        <w:t>.</w:t>
      </w:r>
    </w:p>
    <w:p w:rsidR="00815821" w:rsidRDefault="00BE45A5" w:rsidP="00963C7B">
      <w:pPr>
        <w:pStyle w:val="NoSpacing"/>
        <w:ind w:firstLine="720"/>
        <w:jc w:val="both"/>
      </w:pPr>
      <w:r>
        <w:t>The HIU prom</w:t>
      </w:r>
      <w:r w:rsidR="00E952FC">
        <w:t xml:space="preserve">ised to both investigate and </w:t>
      </w:r>
      <w:r>
        <w:t>judge past crimes, a travesty of our human rights commitment</w:t>
      </w:r>
      <w:r w:rsidR="00AF66D4">
        <w:t xml:space="preserve"> to</w:t>
      </w:r>
      <w:r>
        <w:t xml:space="preserve"> </w:t>
      </w:r>
      <w:r w:rsidR="00E952FC">
        <w:t xml:space="preserve">ECHR </w:t>
      </w:r>
      <w:r>
        <w:t xml:space="preserve">Articles 6 </w:t>
      </w:r>
      <w:r w:rsidR="00E952FC">
        <w:t xml:space="preserve">(fair trial) </w:t>
      </w:r>
      <w:r>
        <w:t xml:space="preserve">and </w:t>
      </w:r>
      <w:r w:rsidR="00AF66D4">
        <w:t xml:space="preserve">Article </w:t>
      </w:r>
      <w:r>
        <w:t>8</w:t>
      </w:r>
      <w:r w:rsidR="00E952FC">
        <w:t xml:space="preserve"> (right to </w:t>
      </w:r>
      <w:r w:rsidR="00AF66D4">
        <w:t xml:space="preserve">a </w:t>
      </w:r>
      <w:r w:rsidR="00E952FC">
        <w:t>reputation)</w:t>
      </w:r>
      <w:r>
        <w:t xml:space="preserve">. </w:t>
      </w:r>
      <w:r w:rsidR="002065E6">
        <w:t>The</w:t>
      </w:r>
      <w:r>
        <w:t xml:space="preserve"> justice system precludes police from adjudicating on criminal responsibility</w:t>
      </w:r>
      <w:r w:rsidR="00E36691">
        <w:t>. R</w:t>
      </w:r>
      <w:r>
        <w:t>ather they investigate and pass their findings to the P</w:t>
      </w:r>
      <w:r w:rsidR="00E952FC">
        <w:t>ublic Prosecution Service (P</w:t>
      </w:r>
      <w:r>
        <w:t>PS</w:t>
      </w:r>
      <w:r w:rsidR="00E952FC">
        <w:t xml:space="preserve">) for a decision. </w:t>
      </w:r>
      <w:r>
        <w:t>HIU would have combined the two functions</w:t>
      </w:r>
      <w:r w:rsidR="00A02DD8">
        <w:t>,</w:t>
      </w:r>
      <w:r>
        <w:t xml:space="preserve"> especially when it came to the promised truth reports to victims’ families</w:t>
      </w:r>
      <w:r w:rsidR="00A02DD8">
        <w:t xml:space="preserve">. They would </w:t>
      </w:r>
      <w:r>
        <w:t>have apportioned guilt</w:t>
      </w:r>
      <w:r w:rsidR="00A02DD8">
        <w:t>,</w:t>
      </w:r>
      <w:r>
        <w:t xml:space="preserve"> </w:t>
      </w:r>
      <w:r w:rsidR="00A02DD8">
        <w:t>in the most part</w:t>
      </w:r>
      <w:r>
        <w:t xml:space="preserve"> </w:t>
      </w:r>
      <w:r w:rsidR="00A02DD8">
        <w:t xml:space="preserve">regarding </w:t>
      </w:r>
      <w:r>
        <w:t>the conduct of the security forces</w:t>
      </w:r>
      <w:r w:rsidR="00A02DD8">
        <w:t>,</w:t>
      </w:r>
      <w:r>
        <w:t xml:space="preserve"> criminal or otherwise</w:t>
      </w:r>
      <w:r w:rsidR="001F4EB4">
        <w:t>,</w:t>
      </w:r>
      <w:r w:rsidR="00AF66D4">
        <w:t xml:space="preserve"> and</w:t>
      </w:r>
      <w:r w:rsidR="002C0DC0">
        <w:t xml:space="preserve"> on</w:t>
      </w:r>
      <w:r w:rsidR="00AF66D4">
        <w:t xml:space="preserve"> </w:t>
      </w:r>
      <w:r w:rsidR="002C0DC0">
        <w:t>‘</w:t>
      </w:r>
      <w:r>
        <w:t>collus</w:t>
      </w:r>
      <w:r w:rsidR="00AF66D4">
        <w:t>ion</w:t>
      </w:r>
      <w:r w:rsidR="002C0DC0">
        <w:t>’</w:t>
      </w:r>
      <w:r w:rsidR="00E36691">
        <w:t xml:space="preserve">. There is no such crime as collusion and as many definitions </w:t>
      </w:r>
      <w:r w:rsidR="00566E6B">
        <w:t xml:space="preserve">of it </w:t>
      </w:r>
      <w:r w:rsidR="00E36691">
        <w:t xml:space="preserve">as there are letters in the word. </w:t>
      </w:r>
      <w:r w:rsidR="00566E6B">
        <w:t>Its use</w:t>
      </w:r>
      <w:r w:rsidR="00A02DD8">
        <w:t xml:space="preserve"> however has become</w:t>
      </w:r>
      <w:r w:rsidR="009D7030">
        <w:t xml:space="preserve"> </w:t>
      </w:r>
      <w:r w:rsidR="00E36691">
        <w:t xml:space="preserve">a </w:t>
      </w:r>
      <w:r w:rsidR="00AF66D4">
        <w:t xml:space="preserve">finding of </w:t>
      </w:r>
      <w:r w:rsidR="00E36691">
        <w:t xml:space="preserve">guilt </w:t>
      </w:r>
      <w:r w:rsidR="00566E6B">
        <w:t>since</w:t>
      </w:r>
      <w:r w:rsidR="00E36691">
        <w:t xml:space="preserve"> it cannot be disproved.</w:t>
      </w:r>
    </w:p>
    <w:p w:rsidR="00D02268" w:rsidRDefault="00041D00" w:rsidP="004710D7">
      <w:pPr>
        <w:pStyle w:val="NoSpacing"/>
        <w:ind w:firstLine="720"/>
        <w:jc w:val="both"/>
      </w:pPr>
      <w:r>
        <w:t xml:space="preserve">The UUP majored </w:t>
      </w:r>
      <w:r w:rsidR="00E952FC">
        <w:t xml:space="preserve">in Haass </w:t>
      </w:r>
      <w:r>
        <w:t xml:space="preserve">on </w:t>
      </w:r>
      <w:r w:rsidR="00963C7B">
        <w:t xml:space="preserve">the </w:t>
      </w:r>
      <w:r>
        <w:t xml:space="preserve">rule of </w:t>
      </w:r>
      <w:r w:rsidR="00D02268">
        <w:t xml:space="preserve">law and the role of history. In </w:t>
      </w:r>
      <w:r>
        <w:t xml:space="preserve">a dynamic process where law was </w:t>
      </w:r>
      <w:r w:rsidR="00287370">
        <w:t>side-lined</w:t>
      </w:r>
      <w:r w:rsidR="00D02268">
        <w:t xml:space="preserve"> (Haass </w:t>
      </w:r>
      <w:r w:rsidR="00737F44">
        <w:t xml:space="preserve">seemingly </w:t>
      </w:r>
      <w:r w:rsidR="00D02268">
        <w:t>had no legal advice),</w:t>
      </w:r>
      <w:r>
        <w:t xml:space="preserve"> nationalism inevitably prospered within </w:t>
      </w:r>
      <w:r w:rsidR="002065E6">
        <w:t>the</w:t>
      </w:r>
      <w:r>
        <w:t xml:space="preserve"> alphabet soup of proposed new institutions</w:t>
      </w:r>
      <w:r w:rsidR="00D02268">
        <w:t>.</w:t>
      </w:r>
      <w:r>
        <w:t xml:space="preserve"> </w:t>
      </w:r>
      <w:r w:rsidR="0096474C">
        <w:t xml:space="preserve">A </w:t>
      </w:r>
      <w:r>
        <w:t>y</w:t>
      </w:r>
      <w:r w:rsidR="00963C7B">
        <w:t>ear from the collapse of Haass,</w:t>
      </w:r>
      <w:r w:rsidR="0096474C">
        <w:t xml:space="preserve"> the DUP</w:t>
      </w:r>
      <w:r w:rsidR="00FD5FA8">
        <w:t>,</w:t>
      </w:r>
      <w:r w:rsidR="0096474C">
        <w:t xml:space="preserve"> </w:t>
      </w:r>
      <w:r w:rsidR="00963C7B">
        <w:t>still</w:t>
      </w:r>
      <w:r w:rsidR="004F5BD0">
        <w:t xml:space="preserve"> </w:t>
      </w:r>
      <w:r w:rsidR="0096474C">
        <w:t>under Peter Robinson</w:t>
      </w:r>
      <w:r w:rsidR="00FD5FA8">
        <w:t>,</w:t>
      </w:r>
      <w:r w:rsidR="0096474C">
        <w:t xml:space="preserve"> mysteriously shifted</w:t>
      </w:r>
      <w:r w:rsidR="00FD5FA8">
        <w:t xml:space="preserve"> and agreed S</w:t>
      </w:r>
      <w:r w:rsidR="00583936">
        <w:t>tormont House,</w:t>
      </w:r>
      <w:r w:rsidR="00D02268">
        <w:t xml:space="preserve"> despite it being</w:t>
      </w:r>
      <w:r w:rsidR="008E75A6">
        <w:t xml:space="preserve"> son of Haass</w:t>
      </w:r>
      <w:r w:rsidR="002065E6">
        <w:t>,</w:t>
      </w:r>
      <w:r w:rsidR="001F4EB4">
        <w:t xml:space="preserve"> but</w:t>
      </w:r>
      <w:r w:rsidR="00622009">
        <w:t xml:space="preserve"> too late to salve Richard Haass’s wounds</w:t>
      </w:r>
      <w:r w:rsidR="008E75A6">
        <w:t>.</w:t>
      </w:r>
    </w:p>
    <w:p w:rsidR="00622009" w:rsidRDefault="00622009" w:rsidP="004710D7">
      <w:pPr>
        <w:pStyle w:val="NoSpacing"/>
        <w:ind w:firstLine="720"/>
        <w:jc w:val="both"/>
      </w:pPr>
      <w:r w:rsidRPr="00622009">
        <w:lastRenderedPageBreak/>
        <w:t>S</w:t>
      </w:r>
      <w:r>
        <w:t>HA had</w:t>
      </w:r>
      <w:r w:rsidRPr="00622009">
        <w:t xml:space="preserve"> been agreed by </w:t>
      </w:r>
      <w:r>
        <w:t>four of the</w:t>
      </w:r>
      <w:r w:rsidRPr="00622009">
        <w:t xml:space="preserve"> political parties but the U</w:t>
      </w:r>
      <w:r w:rsidR="001F4EB4">
        <w:t>UP</w:t>
      </w:r>
      <w:r w:rsidRPr="00622009">
        <w:t xml:space="preserve"> dissented. </w:t>
      </w:r>
      <w:r>
        <w:t>It is not an</w:t>
      </w:r>
      <w:r w:rsidRPr="00622009">
        <w:t xml:space="preserve"> international agreement</w:t>
      </w:r>
      <w:r w:rsidR="001F4EB4">
        <w:t xml:space="preserve"> like the GFA</w:t>
      </w:r>
      <w:r w:rsidR="00583936">
        <w:t>,</w:t>
      </w:r>
      <w:r w:rsidRPr="00622009">
        <w:t xml:space="preserve"> despite the belief of </w:t>
      </w:r>
      <w:r w:rsidR="00583936">
        <w:t>some</w:t>
      </w:r>
      <w:r w:rsidRPr="00622009">
        <w:t xml:space="preserve"> and frequent deceitful statements from nationalist and other parties. </w:t>
      </w:r>
    </w:p>
    <w:p w:rsidR="0096474C" w:rsidRDefault="004F5BD0" w:rsidP="004710D7">
      <w:pPr>
        <w:pStyle w:val="NoSpacing"/>
        <w:ind w:firstLine="720"/>
        <w:jc w:val="both"/>
      </w:pPr>
      <w:r>
        <w:t xml:space="preserve">The Fresh Start Agreement of 17 November 2015 </w:t>
      </w:r>
      <w:r w:rsidR="00441B07">
        <w:t xml:space="preserve">was put together </w:t>
      </w:r>
      <w:r>
        <w:t>under Teresa Villiers</w:t>
      </w:r>
      <w:r w:rsidR="001F4EB4">
        <w:t>.</w:t>
      </w:r>
      <w:r w:rsidRPr="0096474C">
        <w:t xml:space="preserve"> </w:t>
      </w:r>
      <w:r w:rsidR="00963C7B">
        <w:t>It endorsed the SHA</w:t>
      </w:r>
      <w:r w:rsidR="00441B07">
        <w:t xml:space="preserve"> but</w:t>
      </w:r>
      <w:r w:rsidR="00583936">
        <w:t>,</w:t>
      </w:r>
      <w:r w:rsidR="00441B07">
        <w:t xml:space="preserve"> alone</w:t>
      </w:r>
      <w:r w:rsidR="00583936">
        <w:t>,</w:t>
      </w:r>
      <w:r w:rsidR="00441B07">
        <w:t xml:space="preserve"> </w:t>
      </w:r>
      <w:r>
        <w:t>significantly stated, “</w:t>
      </w:r>
      <w:r w:rsidRPr="0096474C">
        <w:t>Despite some significant progress a final agreement on the establishment of new bodies to dea</w:t>
      </w:r>
      <w:r>
        <w:t>l</w:t>
      </w:r>
      <w:r w:rsidR="009D7030">
        <w:t xml:space="preserve"> with the past was not reached”</w:t>
      </w:r>
      <w:r w:rsidR="0096474C">
        <w:t>.</w:t>
      </w:r>
    </w:p>
    <w:p w:rsidR="00343173" w:rsidRDefault="004F5BD0" w:rsidP="004710D7">
      <w:pPr>
        <w:pStyle w:val="NoSpacing"/>
        <w:ind w:firstLine="720"/>
        <w:jc w:val="both"/>
      </w:pPr>
      <w:r>
        <w:t xml:space="preserve">The </w:t>
      </w:r>
      <w:r w:rsidR="00343173">
        <w:t xml:space="preserve">2018 NIO draft </w:t>
      </w:r>
      <w:r w:rsidR="00583936">
        <w:t>L</w:t>
      </w:r>
      <w:r w:rsidR="00343173">
        <w:t xml:space="preserve">egacy Bill silently added the iniquitous historic police misconduct </w:t>
      </w:r>
      <w:r>
        <w:t>aspect</w:t>
      </w:r>
      <w:r w:rsidR="00963C7B">
        <w:t xml:space="preserve"> to the SHA </w:t>
      </w:r>
      <w:r w:rsidR="00EB278F">
        <w:t xml:space="preserve">at the behest of </w:t>
      </w:r>
      <w:r w:rsidR="00963C7B">
        <w:t>the Police Ombudsman for Northern Ireland</w:t>
      </w:r>
      <w:r w:rsidR="00EB278F" w:rsidRPr="00EB278F">
        <w:t xml:space="preserve"> </w:t>
      </w:r>
      <w:r w:rsidR="00EB278F">
        <w:t>(PONI) and the Alliance Party</w:t>
      </w:r>
      <w:r>
        <w:t xml:space="preserve">. </w:t>
      </w:r>
      <w:r w:rsidR="00EB278F">
        <w:t xml:space="preserve">PONI </w:t>
      </w:r>
      <w:r w:rsidR="002065E6">
        <w:t>in justified</w:t>
      </w:r>
      <w:r w:rsidR="00EB278F">
        <w:t xml:space="preserve"> fear of this aspect of the SHA</w:t>
      </w:r>
      <w:r w:rsidR="00F33DEF">
        <w:t xml:space="preserve"> been</w:t>
      </w:r>
      <w:r w:rsidR="00EB278F">
        <w:t xml:space="preserve"> aban</w:t>
      </w:r>
      <w:r w:rsidR="00F33DEF">
        <w:t xml:space="preserve">doned </w:t>
      </w:r>
      <w:r w:rsidR="00583936">
        <w:t xml:space="preserve">by the NIO </w:t>
      </w:r>
      <w:r w:rsidR="00EB278F">
        <w:t xml:space="preserve">switched to demanding </w:t>
      </w:r>
      <w:r w:rsidR="00F33DEF">
        <w:t>in</w:t>
      </w:r>
      <w:r w:rsidR="002065E6">
        <w:t xml:space="preserve"> its</w:t>
      </w:r>
      <w:r w:rsidR="00F33DEF">
        <w:t xml:space="preserve"> ‘five year review’ </w:t>
      </w:r>
      <w:r w:rsidR="00583936">
        <w:t>of</w:t>
      </w:r>
      <w:r w:rsidR="00F33DEF">
        <w:t xml:space="preserve"> late 2020 that </w:t>
      </w:r>
      <w:r w:rsidR="00EB278F">
        <w:t>the Justice Minister includes such misconduct investigation in new powers.</w:t>
      </w:r>
    </w:p>
    <w:p w:rsidR="0026397C" w:rsidRDefault="0026397C" w:rsidP="004710D7">
      <w:pPr>
        <w:pStyle w:val="NoSpacing"/>
        <w:ind w:firstLine="720"/>
        <w:jc w:val="both"/>
      </w:pPr>
      <w:r>
        <w:t xml:space="preserve">The July 2019 summary of responses to the </w:t>
      </w:r>
      <w:r w:rsidR="00963C7B">
        <w:t xml:space="preserve">NIO </w:t>
      </w:r>
      <w:r>
        <w:t>draft Bill was n</w:t>
      </w:r>
      <w:r w:rsidR="002065E6">
        <w:t>ot</w:t>
      </w:r>
      <w:r>
        <w:t xml:space="preserve"> taken forward with a</w:t>
      </w:r>
      <w:r w:rsidR="00583936">
        <w:t xml:space="preserve"> consequent amended</w:t>
      </w:r>
      <w:r>
        <w:t xml:space="preserve"> draft Bill or</w:t>
      </w:r>
      <w:r w:rsidR="004710D7">
        <w:t xml:space="preserve"> in</w:t>
      </w:r>
      <w:r>
        <w:t>deed an</w:t>
      </w:r>
      <w:r w:rsidR="00963C7B">
        <w:t>y</w:t>
      </w:r>
      <w:r>
        <w:t xml:space="preserve"> NIO</w:t>
      </w:r>
      <w:r w:rsidR="00963C7B">
        <w:t xml:space="preserve"> assessment</w:t>
      </w:r>
      <w:r w:rsidR="00963C7B" w:rsidRPr="00963C7B">
        <w:t>.</w:t>
      </w:r>
      <w:r w:rsidR="00F33DEF">
        <w:t xml:space="preserve"> A figure of 18,000 responses was quoted but it was </w:t>
      </w:r>
      <w:r w:rsidR="00880BD6">
        <w:t>not</w:t>
      </w:r>
      <w:r w:rsidR="00F33DEF">
        <w:t xml:space="preserve"> stated how many were original submissions and how many were </w:t>
      </w:r>
      <w:r w:rsidR="00583936">
        <w:t xml:space="preserve">pro forma </w:t>
      </w:r>
      <w:r w:rsidR="00F33DEF">
        <w:t>copies.</w:t>
      </w:r>
    </w:p>
    <w:p w:rsidR="00263A2F" w:rsidRDefault="002065E6" w:rsidP="004710D7">
      <w:pPr>
        <w:pStyle w:val="NoSpacing"/>
        <w:ind w:firstLine="720"/>
        <w:jc w:val="both"/>
      </w:pPr>
      <w:r>
        <w:t>Then</w:t>
      </w:r>
      <w:r w:rsidR="00263A2F">
        <w:t xml:space="preserve"> there was</w:t>
      </w:r>
      <w:r>
        <w:t xml:space="preserve"> the</w:t>
      </w:r>
      <w:r w:rsidR="00263A2F">
        <w:t xml:space="preserve"> ‘</w:t>
      </w:r>
      <w:r w:rsidR="004637FA">
        <w:t>New Decade New Approach</w:t>
      </w:r>
      <w:r w:rsidR="00263A2F">
        <w:t xml:space="preserve">’ </w:t>
      </w:r>
      <w:r>
        <w:t>of</w:t>
      </w:r>
      <w:r w:rsidR="00263A2F">
        <w:t xml:space="preserve"> January 2020 which was a deal t</w:t>
      </w:r>
      <w:r w:rsidR="0096474C">
        <w:t>o</w:t>
      </w:r>
      <w:r w:rsidR="00263A2F">
        <w:t xml:space="preserve"> return Sinn Fein</w:t>
      </w:r>
      <w:r w:rsidR="00880BD6">
        <w:t xml:space="preserve"> and the </w:t>
      </w:r>
      <w:r w:rsidR="00263A2F">
        <w:t>DUP to power</w:t>
      </w:r>
      <w:r w:rsidR="0096474C">
        <w:t>,</w:t>
      </w:r>
      <w:r w:rsidR="00263A2F">
        <w:t xml:space="preserve"> put together by</w:t>
      </w:r>
      <w:r w:rsidR="004637FA">
        <w:t xml:space="preserve"> </w:t>
      </w:r>
      <w:r w:rsidR="00263A2F">
        <w:t>Irish Foreign Minister</w:t>
      </w:r>
      <w:r w:rsidR="0096474C">
        <w:t>,</w:t>
      </w:r>
      <w:r w:rsidR="00263A2F">
        <w:t xml:space="preserve"> </w:t>
      </w:r>
      <w:r w:rsidR="004637FA">
        <w:t>Simon Coveney</w:t>
      </w:r>
      <w:r w:rsidR="0096474C">
        <w:t>,</w:t>
      </w:r>
      <w:r w:rsidR="004637FA">
        <w:t xml:space="preserve"> and </w:t>
      </w:r>
      <w:r w:rsidR="00F53794">
        <w:t xml:space="preserve">Julian Smith, </w:t>
      </w:r>
      <w:r w:rsidR="0096474C">
        <w:t xml:space="preserve">the </w:t>
      </w:r>
      <w:r w:rsidR="009D7030">
        <w:t>Northern Ireland</w:t>
      </w:r>
      <w:r w:rsidR="00F53794">
        <w:t xml:space="preserve"> Secretary of State</w:t>
      </w:r>
      <w:r w:rsidR="00263A2F">
        <w:t xml:space="preserve">. This was </w:t>
      </w:r>
      <w:r w:rsidR="004637FA">
        <w:t xml:space="preserve">the nearest we have </w:t>
      </w:r>
      <w:r w:rsidR="00263A2F">
        <w:t xml:space="preserve">yet come </w:t>
      </w:r>
      <w:r w:rsidR="004637FA">
        <w:t>to joint authority</w:t>
      </w:r>
      <w:r w:rsidR="00263A2F">
        <w:t xml:space="preserve">. Smith was the journalists’ darling in Belfast as he </w:t>
      </w:r>
      <w:r w:rsidR="00963C7B">
        <w:t>showed</w:t>
      </w:r>
      <w:r w:rsidR="0096474C">
        <w:t xml:space="preserve"> </w:t>
      </w:r>
      <w:r w:rsidR="00263A2F">
        <w:t>a human side</w:t>
      </w:r>
      <w:r w:rsidR="0096474C">
        <w:t>,</w:t>
      </w:r>
      <w:r w:rsidR="00263A2F">
        <w:t xml:space="preserve"> </w:t>
      </w:r>
      <w:r w:rsidR="00963C7B">
        <w:t>they said</w:t>
      </w:r>
      <w:r w:rsidR="00263A2F">
        <w:t>.</w:t>
      </w:r>
      <w:r w:rsidR="0096474C">
        <w:t xml:space="preserve"> He is a possible </w:t>
      </w:r>
      <w:r>
        <w:t>P</w:t>
      </w:r>
      <w:r w:rsidR="0096474C">
        <w:t xml:space="preserve">rince across the </w:t>
      </w:r>
      <w:r>
        <w:t>W</w:t>
      </w:r>
      <w:r w:rsidR="0096474C">
        <w:t>ater with key Tory friends</w:t>
      </w:r>
      <w:r w:rsidR="00963C7B">
        <w:t xml:space="preserve">, not least Simon Hoare, </w:t>
      </w:r>
      <w:proofErr w:type="gramStart"/>
      <w:r w:rsidR="00963C7B">
        <w:t>chair</w:t>
      </w:r>
      <w:proofErr w:type="gramEnd"/>
      <w:r w:rsidR="00963C7B">
        <w:t xml:space="preserve"> of </w:t>
      </w:r>
      <w:r w:rsidR="00C00A9B">
        <w:t>NIAC</w:t>
      </w:r>
      <w:r w:rsidR="0096474C">
        <w:t>.</w:t>
      </w:r>
    </w:p>
    <w:p w:rsidR="00583936" w:rsidRDefault="00263A2F" w:rsidP="004710D7">
      <w:pPr>
        <w:pStyle w:val="NoSpacing"/>
        <w:ind w:firstLine="720"/>
        <w:jc w:val="both"/>
      </w:pPr>
      <w:r>
        <w:t xml:space="preserve">And yet </w:t>
      </w:r>
      <w:r w:rsidR="0096474C">
        <w:t>almost silently</w:t>
      </w:r>
      <w:r w:rsidR="00963C7B">
        <w:t xml:space="preserve"> </w:t>
      </w:r>
      <w:r w:rsidR="00622009">
        <w:t xml:space="preserve">Julian </w:t>
      </w:r>
      <w:r w:rsidR="00963C7B">
        <w:t>Smith</w:t>
      </w:r>
      <w:r w:rsidR="0096474C">
        <w:t xml:space="preserve"> </w:t>
      </w:r>
      <w:r w:rsidR="004637FA">
        <w:t>w</w:t>
      </w:r>
      <w:r>
        <w:t xml:space="preserve">as swept aside shortly </w:t>
      </w:r>
      <w:r w:rsidR="00622009">
        <w:t>following</w:t>
      </w:r>
      <w:r>
        <w:t xml:space="preserve"> </w:t>
      </w:r>
      <w:r w:rsidR="00963C7B">
        <w:t>his</w:t>
      </w:r>
      <w:r w:rsidR="0096474C">
        <w:t xml:space="preserve"> </w:t>
      </w:r>
      <w:r w:rsidR="004637FA">
        <w:t xml:space="preserve">much </w:t>
      </w:r>
      <w:r w:rsidR="00F06DCA">
        <w:t>l</w:t>
      </w:r>
      <w:r w:rsidR="004637FA">
        <w:t xml:space="preserve">auded </w:t>
      </w:r>
      <w:r w:rsidR="00F06DCA">
        <w:t>achievement</w:t>
      </w:r>
      <w:r>
        <w:t xml:space="preserve"> of</w:t>
      </w:r>
      <w:r w:rsidR="004637FA">
        <w:t xml:space="preserve"> b</w:t>
      </w:r>
      <w:r>
        <w:t xml:space="preserve">ringing </w:t>
      </w:r>
      <w:r w:rsidR="00963C7B">
        <w:t xml:space="preserve">devolution </w:t>
      </w:r>
      <w:r>
        <w:t xml:space="preserve">back </w:t>
      </w:r>
      <w:r w:rsidR="004637FA">
        <w:t>after a three year absence.</w:t>
      </w:r>
      <w:r>
        <w:t xml:space="preserve"> It would appear that Boris Johnson</w:t>
      </w:r>
      <w:r w:rsidR="00963C7B">
        <w:t>,</w:t>
      </w:r>
      <w:r>
        <w:t xml:space="preserve"> emboldened by his December 2019 election </w:t>
      </w:r>
      <w:proofErr w:type="gramStart"/>
      <w:r>
        <w:t>victory</w:t>
      </w:r>
      <w:r w:rsidR="00622009">
        <w:t>,</w:t>
      </w:r>
      <w:proofErr w:type="gramEnd"/>
      <w:r>
        <w:t xml:space="preserve"> decided to exert the power he </w:t>
      </w:r>
      <w:r w:rsidR="00963C7B">
        <w:t xml:space="preserve">realised he </w:t>
      </w:r>
      <w:r>
        <w:t>had</w:t>
      </w:r>
      <w:r w:rsidR="00622009">
        <w:t>,</w:t>
      </w:r>
      <w:r>
        <w:t xml:space="preserve"> as opposed to what the civil service wanted</w:t>
      </w:r>
      <w:r w:rsidR="00963C7B">
        <w:t xml:space="preserve"> him to have</w:t>
      </w:r>
      <w:r>
        <w:t>.</w:t>
      </w:r>
      <w:r w:rsidR="00963C7B">
        <w:t xml:space="preserve"> </w:t>
      </w:r>
      <w:r w:rsidR="00D47B40">
        <w:t xml:space="preserve">The </w:t>
      </w:r>
      <w:r w:rsidR="00880BD6">
        <w:t xml:space="preserve">Tory </w:t>
      </w:r>
      <w:r w:rsidR="00D47B40">
        <w:t xml:space="preserve">manifesto </w:t>
      </w:r>
      <w:r w:rsidR="002065E6">
        <w:t>had</w:t>
      </w:r>
      <w:r w:rsidR="00D47B40">
        <w:t xml:space="preserve"> </w:t>
      </w:r>
      <w:r w:rsidR="002065E6">
        <w:t>stated</w:t>
      </w:r>
      <w:r w:rsidR="00D47B40">
        <w:t>, “</w:t>
      </w:r>
      <w:r w:rsidR="00D47B40" w:rsidRPr="00D47B40">
        <w:t>We will continue to seek better ways of dealing with legacy issues that provide better outcomes for victims and survivors and do more to give veterans the protections they deserve.</w:t>
      </w:r>
      <w:r w:rsidR="00D47B40">
        <w:t>”</w:t>
      </w:r>
      <w:r w:rsidR="00880BD6" w:rsidRPr="00880BD6">
        <w:t xml:space="preserve"> </w:t>
      </w:r>
      <w:r w:rsidR="00880BD6">
        <w:t xml:space="preserve">Of course </w:t>
      </w:r>
      <w:r w:rsidR="002065E6">
        <w:t>his triumph s</w:t>
      </w:r>
      <w:r w:rsidR="00880BD6">
        <w:t>hould have been expected given the 2016 Brexit referendum result.</w:t>
      </w:r>
    </w:p>
    <w:p w:rsidR="002065E6" w:rsidRDefault="00963C7B" w:rsidP="004710D7">
      <w:pPr>
        <w:pStyle w:val="NoSpacing"/>
        <w:ind w:firstLine="720"/>
        <w:jc w:val="both"/>
      </w:pPr>
      <w:r>
        <w:t xml:space="preserve">Part of </w:t>
      </w:r>
      <w:r w:rsidR="00D47B40">
        <w:t>Johnson’s</w:t>
      </w:r>
      <w:r w:rsidR="00622009">
        <w:t xml:space="preserve"> power </w:t>
      </w:r>
      <w:r w:rsidR="002065E6">
        <w:t xml:space="preserve">indeed </w:t>
      </w:r>
      <w:r w:rsidR="00791087">
        <w:t xml:space="preserve">his </w:t>
      </w:r>
      <w:r w:rsidR="002065E6">
        <w:t xml:space="preserve">need to act </w:t>
      </w:r>
      <w:r w:rsidR="00622009">
        <w:t>came from the emergence of the military veterans’ lobby who were wielding increasing influence in parliament and in Conservative constituencies. No longer could veterans</w:t>
      </w:r>
      <w:r w:rsidR="00583936">
        <w:t>’</w:t>
      </w:r>
      <w:r w:rsidR="00622009">
        <w:t xml:space="preserve"> concerns be channelled into the British Legion and</w:t>
      </w:r>
      <w:r w:rsidR="00583936">
        <w:t xml:space="preserve"> remembrance </w:t>
      </w:r>
      <w:r w:rsidR="00880BD6">
        <w:t xml:space="preserve">events </w:t>
      </w:r>
      <w:r w:rsidR="00583936">
        <w:t xml:space="preserve">or </w:t>
      </w:r>
      <w:r w:rsidR="00622009">
        <w:t>charitable</w:t>
      </w:r>
      <w:r w:rsidR="00583936" w:rsidRPr="00583936">
        <w:t xml:space="preserve"> </w:t>
      </w:r>
      <w:r w:rsidR="00583936">
        <w:t>matters</w:t>
      </w:r>
      <w:r w:rsidR="00622009">
        <w:t>. Social media had given them a</w:t>
      </w:r>
      <w:r w:rsidR="00093AFC">
        <w:t>n unprecedented</w:t>
      </w:r>
      <w:r w:rsidR="00622009">
        <w:t xml:space="preserve"> means to organise</w:t>
      </w:r>
      <w:r w:rsidR="00583936">
        <w:t>,</w:t>
      </w:r>
      <w:r w:rsidR="00622009">
        <w:t xml:space="preserve"> putting them on a par with </w:t>
      </w:r>
      <w:r w:rsidR="00880BD6">
        <w:t xml:space="preserve">the many </w:t>
      </w:r>
      <w:r w:rsidR="00622009">
        <w:t>hostile victims’ groups</w:t>
      </w:r>
      <w:r w:rsidR="00093AFC">
        <w:t xml:space="preserve">. </w:t>
      </w:r>
    </w:p>
    <w:p w:rsidR="00F06DCA" w:rsidRDefault="00093AFC" w:rsidP="004710D7">
      <w:pPr>
        <w:pStyle w:val="NoSpacing"/>
        <w:ind w:firstLine="720"/>
        <w:jc w:val="both"/>
      </w:pPr>
      <w:r>
        <w:t xml:space="preserve">In some ways, the veterans, who are often unpolitical or </w:t>
      </w:r>
      <w:proofErr w:type="gramStart"/>
      <w:r>
        <w:t>anti-political</w:t>
      </w:r>
      <w:proofErr w:type="gramEnd"/>
      <w:r>
        <w:t xml:space="preserve"> are a force led by NCOs. That was until the appointment of Johnny Mercer to be the </w:t>
      </w:r>
      <w:r w:rsidR="00583936">
        <w:t>veterans’</w:t>
      </w:r>
      <w:r>
        <w:t xml:space="preserve"> minister responsible for advancing legislation to address the problem of </w:t>
      </w:r>
      <w:r w:rsidR="00583936">
        <w:t xml:space="preserve">constant Iraq and Afghanistan war </w:t>
      </w:r>
      <w:r>
        <w:t>re-investigation</w:t>
      </w:r>
      <w:r w:rsidR="00583936">
        <w:t>s. They</w:t>
      </w:r>
      <w:r>
        <w:t xml:space="preserve"> had become something of a lawyers industry in Britain with</w:t>
      </w:r>
      <w:r w:rsidR="00880BD6">
        <w:t>,</w:t>
      </w:r>
      <w:r>
        <w:t xml:space="preserve"> the later disgraced solicitor</w:t>
      </w:r>
      <w:r w:rsidR="00583936">
        <w:t>,</w:t>
      </w:r>
      <w:r>
        <w:t xml:space="preserve"> Phil Shiner</w:t>
      </w:r>
      <w:r w:rsidR="00583936">
        <w:t>,</w:t>
      </w:r>
      <w:r>
        <w:t xml:space="preserve"> as its exemplar</w:t>
      </w:r>
      <w:r w:rsidR="00583936">
        <w:t>. The cost of the inquiries</w:t>
      </w:r>
      <w:r>
        <w:t xml:space="preserve"> ran into hundreds of millions </w:t>
      </w:r>
      <w:r w:rsidR="00583936">
        <w:t xml:space="preserve">of pounds </w:t>
      </w:r>
      <w:r>
        <w:t xml:space="preserve">while many ex-soldiers </w:t>
      </w:r>
      <w:r w:rsidR="002065E6">
        <w:t xml:space="preserve">were </w:t>
      </w:r>
      <w:r w:rsidR="00880BD6">
        <w:t xml:space="preserve">left in a legal limbo </w:t>
      </w:r>
      <w:r>
        <w:t>bec</w:t>
      </w:r>
      <w:r w:rsidR="00791087">
        <w:t xml:space="preserve">oming </w:t>
      </w:r>
      <w:r w:rsidR="00583936">
        <w:t xml:space="preserve">long term </w:t>
      </w:r>
      <w:r>
        <w:t>victims.</w:t>
      </w:r>
    </w:p>
    <w:p w:rsidR="00F4305B" w:rsidRDefault="00880BD6" w:rsidP="00F4305B">
      <w:pPr>
        <w:pStyle w:val="NoSpacing"/>
        <w:ind w:firstLine="720"/>
        <w:jc w:val="both"/>
      </w:pPr>
      <w:r>
        <w:t>T</w:t>
      </w:r>
      <w:r w:rsidR="00263A2F">
        <w:t xml:space="preserve">he next development was the 18 March 2020 </w:t>
      </w:r>
      <w:r w:rsidR="00AA316D">
        <w:t>Written Ministerial Statement</w:t>
      </w:r>
      <w:r w:rsidR="00263A2F">
        <w:t xml:space="preserve"> by the new Secretary of State, Brandon Lewis. It told of an abandonment</w:t>
      </w:r>
      <w:r w:rsidR="00AA316D">
        <w:t xml:space="preserve"> of</w:t>
      </w:r>
      <w:r w:rsidR="00263A2F">
        <w:t xml:space="preserve"> the draft </w:t>
      </w:r>
      <w:r w:rsidR="00F33DEF">
        <w:t xml:space="preserve">NIO </w:t>
      </w:r>
      <w:r w:rsidR="00263A2F">
        <w:t xml:space="preserve">Bill with all its </w:t>
      </w:r>
      <w:r w:rsidR="00961390">
        <w:t>fraudulent promises</w:t>
      </w:r>
      <w:r w:rsidR="00583936">
        <w:t>. L</w:t>
      </w:r>
      <w:r w:rsidR="00F33DEF">
        <w:t>ittle detail</w:t>
      </w:r>
      <w:r w:rsidR="00093AFC">
        <w:t xml:space="preserve"> was</w:t>
      </w:r>
      <w:r w:rsidR="00093AFC" w:rsidRPr="00093AFC">
        <w:t xml:space="preserve"> </w:t>
      </w:r>
      <w:r w:rsidR="00093AFC">
        <w:t>provided</w:t>
      </w:r>
      <w:r w:rsidR="00F4305B">
        <w:t xml:space="preserve"> but i</w:t>
      </w:r>
      <w:r w:rsidR="00AA316D">
        <w:t xml:space="preserve">t did </w:t>
      </w:r>
      <w:r w:rsidR="00AA316D" w:rsidRPr="00AA316D">
        <w:t xml:space="preserve">presage a narrowing of the ludicrously overblown </w:t>
      </w:r>
      <w:r w:rsidR="00AA316D">
        <w:t>SHA a</w:t>
      </w:r>
      <w:r w:rsidR="00AA316D" w:rsidRPr="00AA316D">
        <w:t xml:space="preserve">rrangements on </w:t>
      </w:r>
      <w:r w:rsidR="00791087">
        <w:t xml:space="preserve">criminal </w:t>
      </w:r>
      <w:r w:rsidR="00AA316D" w:rsidRPr="00AA316D">
        <w:t>re-investigation</w:t>
      </w:r>
      <w:r w:rsidR="00576D34">
        <w:t>,</w:t>
      </w:r>
      <w:r w:rsidR="00AA316D">
        <w:t xml:space="preserve"> if not</w:t>
      </w:r>
      <w:r w:rsidR="00AA316D" w:rsidRPr="00AA316D">
        <w:t xml:space="preserve"> </w:t>
      </w:r>
      <w:r w:rsidR="00F4305B">
        <w:t xml:space="preserve">on </w:t>
      </w:r>
      <w:r w:rsidR="00AA316D" w:rsidRPr="00AA316D">
        <w:t>‘truth recovery’.</w:t>
      </w:r>
      <w:r w:rsidR="00F4305B">
        <w:t xml:space="preserve"> Cost alone may have been a significant factor given unprecedented government borrowing during the Covid pandemic. </w:t>
      </w:r>
    </w:p>
    <w:p w:rsidR="00F4305B" w:rsidRDefault="00F4305B" w:rsidP="00F4305B">
      <w:pPr>
        <w:pStyle w:val="NoSpacing"/>
        <w:ind w:firstLine="720"/>
        <w:jc w:val="both"/>
      </w:pPr>
      <w:r>
        <w:lastRenderedPageBreak/>
        <w:t xml:space="preserve">These were the NIO headlines: </w:t>
      </w:r>
    </w:p>
    <w:p w:rsidR="00F4305B" w:rsidRDefault="00F4305B" w:rsidP="00F4305B">
      <w:pPr>
        <w:pStyle w:val="NoSpacing"/>
        <w:ind w:firstLine="720"/>
        <w:jc w:val="both"/>
      </w:pPr>
      <w:r>
        <w:t xml:space="preserve">“A new independent body focused on providing information to families and swift examinations of all unresolved deaths from the Troubles. </w:t>
      </w:r>
    </w:p>
    <w:p w:rsidR="00F4305B" w:rsidRDefault="00F4305B" w:rsidP="00F4305B">
      <w:pPr>
        <w:pStyle w:val="NoSpacing"/>
        <w:ind w:firstLine="720"/>
        <w:jc w:val="both"/>
      </w:pPr>
      <w:r>
        <w:t xml:space="preserve">End to the cycle of reinvestigations that has failed victims and veterans for too long. </w:t>
      </w:r>
    </w:p>
    <w:p w:rsidR="005F232D" w:rsidRDefault="00F4305B" w:rsidP="004710D7">
      <w:pPr>
        <w:pStyle w:val="NoSpacing"/>
        <w:ind w:firstLine="720"/>
        <w:jc w:val="both"/>
      </w:pPr>
      <w:proofErr w:type="gramStart"/>
      <w:r>
        <w:t>Ensuring that Northern Ireland veterans receive equal treatment to their counterparts who served overseas.”</w:t>
      </w:r>
      <w:proofErr w:type="gramEnd"/>
      <w:r w:rsidR="00DA0470">
        <w:rPr>
          <w:rStyle w:val="FootnoteReference"/>
        </w:rPr>
        <w:footnoteReference w:id="2"/>
      </w:r>
    </w:p>
    <w:p w:rsidR="005F232D" w:rsidRDefault="00791087" w:rsidP="005F232D">
      <w:pPr>
        <w:pStyle w:val="NoSpacing"/>
        <w:ind w:firstLine="720"/>
        <w:jc w:val="both"/>
      </w:pPr>
      <w:r>
        <w:t xml:space="preserve">The NIO </w:t>
      </w:r>
      <w:r w:rsidR="005F232D">
        <w:t xml:space="preserve">tacked-on a reconciliation </w:t>
      </w:r>
      <w:r w:rsidR="001E0913">
        <w:t>aspect</w:t>
      </w:r>
      <w:r w:rsidR="005F232D">
        <w:t xml:space="preserve"> to that regarding </w:t>
      </w:r>
      <w:r w:rsidR="002065E6">
        <w:t>information</w:t>
      </w:r>
      <w:r w:rsidR="005F232D">
        <w:t>. But nobody will be reconciled by inevitably</w:t>
      </w:r>
      <w:r w:rsidR="00880BD6">
        <w:t>,</w:t>
      </w:r>
      <w:r w:rsidR="005F232D">
        <w:t xml:space="preserve"> one-sided</w:t>
      </w:r>
      <w:r w:rsidR="001E0913">
        <w:t>,</w:t>
      </w:r>
      <w:r w:rsidR="005F232D">
        <w:t xml:space="preserve"> victim-focused justice. Truth recovery if it ever was seriously </w:t>
      </w:r>
      <w:r w:rsidR="00880BD6">
        <w:t xml:space="preserve">considered </w:t>
      </w:r>
      <w:r w:rsidR="002065E6">
        <w:t>was seriously damaged</w:t>
      </w:r>
      <w:r w:rsidR="005F232D">
        <w:t xml:space="preserve"> following the Soldier </w:t>
      </w:r>
      <w:proofErr w:type="gramStart"/>
      <w:r w:rsidR="005F232D">
        <w:t>A</w:t>
      </w:r>
      <w:proofErr w:type="gramEnd"/>
      <w:r w:rsidR="005F232D">
        <w:t xml:space="preserve"> &amp; C case</w:t>
      </w:r>
      <w:r w:rsidR="00880BD6">
        <w:t>, t</w:t>
      </w:r>
      <w:r w:rsidR="005F232D">
        <w:t>he Joe McCann murder trial</w:t>
      </w:r>
      <w:r w:rsidR="007972AA">
        <w:t xml:space="preserve"> in April 2020. It</w:t>
      </w:r>
      <w:r w:rsidR="005F232D">
        <w:t xml:space="preserve"> </w:t>
      </w:r>
      <w:r w:rsidR="001E0913">
        <w:t>collapsed</w:t>
      </w:r>
      <w:r w:rsidR="005F232D">
        <w:t xml:space="preserve"> when the </w:t>
      </w:r>
      <w:r w:rsidR="00576D34">
        <w:t>j</w:t>
      </w:r>
      <w:r w:rsidR="005F232D">
        <w:t>udge</w:t>
      </w:r>
      <w:r w:rsidR="001E0913">
        <w:t xml:space="preserve">, inevitably, </w:t>
      </w:r>
      <w:r w:rsidR="005F232D">
        <w:t xml:space="preserve">ruled </w:t>
      </w:r>
      <w:r w:rsidR="007972AA">
        <w:t xml:space="preserve">as </w:t>
      </w:r>
      <w:r w:rsidR="005F232D">
        <w:t>inadmissible statements made to the military police in 1972</w:t>
      </w:r>
      <w:r w:rsidR="001E0913">
        <w:t xml:space="preserve"> which were</w:t>
      </w:r>
      <w:r w:rsidR="005F232D">
        <w:t xml:space="preserve"> innocently repeated to HET</w:t>
      </w:r>
      <w:r w:rsidR="007972AA">
        <w:t xml:space="preserve"> in 2010 </w:t>
      </w:r>
      <w:r w:rsidR="001E0913">
        <w:t>for</w:t>
      </w:r>
      <w:r w:rsidR="005F232D">
        <w:t xml:space="preserve"> the</w:t>
      </w:r>
      <w:r w:rsidR="00880BD6">
        <w:t xml:space="preserve"> </w:t>
      </w:r>
      <w:r w:rsidR="005F232D">
        <w:t>famil</w:t>
      </w:r>
      <w:r w:rsidR="007972AA">
        <w:t>y</w:t>
      </w:r>
      <w:r w:rsidR="005F232D">
        <w:t xml:space="preserve"> who </w:t>
      </w:r>
      <w:r w:rsidR="001E0913">
        <w:t xml:space="preserve">said </w:t>
      </w:r>
      <w:r w:rsidR="007972AA">
        <w:t>it</w:t>
      </w:r>
      <w:r w:rsidR="001E0913">
        <w:t xml:space="preserve"> wanted “truth not retribution”</w:t>
      </w:r>
      <w:r w:rsidR="005F232D">
        <w:t xml:space="preserve">. </w:t>
      </w:r>
      <w:r w:rsidR="007972AA">
        <w:t xml:space="preserve">In the event, </w:t>
      </w:r>
      <w:r w:rsidR="002065E6">
        <w:t>it</w:t>
      </w:r>
      <w:r w:rsidR="007972AA">
        <w:t xml:space="preserve"> didn’t</w:t>
      </w:r>
      <w:r w:rsidR="00576D34">
        <w:t>,</w:t>
      </w:r>
      <w:r w:rsidR="007972AA">
        <w:t xml:space="preserve"> and </w:t>
      </w:r>
      <w:r w:rsidR="002065E6">
        <w:t>is</w:t>
      </w:r>
      <w:r w:rsidR="007972AA">
        <w:t xml:space="preserve"> now seeking a re-opened inquest. </w:t>
      </w:r>
      <w:r w:rsidR="005F232D">
        <w:t xml:space="preserve">The advice is already out from retired </w:t>
      </w:r>
      <w:r w:rsidR="00576D34">
        <w:t>g</w:t>
      </w:r>
      <w:r w:rsidR="005F232D">
        <w:t>enerals to squaddies</w:t>
      </w:r>
      <w:r w:rsidR="00576D34">
        <w:t xml:space="preserve">: </w:t>
      </w:r>
      <w:r w:rsidR="005F232D">
        <w:t xml:space="preserve">‘Have nothing to do with anyone knocking your door wanting to talk about truth recovery and reconciliation’. </w:t>
      </w:r>
    </w:p>
    <w:p w:rsidR="005F232D" w:rsidRDefault="005F232D" w:rsidP="005F232D">
      <w:pPr>
        <w:pStyle w:val="NoSpacing"/>
        <w:ind w:firstLine="720"/>
        <w:jc w:val="both"/>
      </w:pPr>
      <w:r>
        <w:t xml:space="preserve">The paramilitaries (and it was only those governed by resentment over the ‘peace process’ who spoke) </w:t>
      </w:r>
      <w:r w:rsidR="002065E6">
        <w:t xml:space="preserve">have </w:t>
      </w:r>
      <w:r>
        <w:t xml:space="preserve">learnt their lesson after being recorded on the Boston Tapes </w:t>
      </w:r>
      <w:r w:rsidR="00791087">
        <w:t>and subsequent</w:t>
      </w:r>
      <w:r>
        <w:t xml:space="preserve"> debacle. That ended in police investigations and prosecutions. Nobody can risk believing that a no-prosecution policy today would not be followed by the opposite tomorrow. Nobody can surely believe that those involved in the 3,500 killings will record their actions for the sake of the families</w:t>
      </w:r>
      <w:r w:rsidR="00880BD6">
        <w:t>,</w:t>
      </w:r>
      <w:r>
        <w:t xml:space="preserve"> even if no prosecution</w:t>
      </w:r>
      <w:r w:rsidR="002065E6">
        <w:t xml:space="preserve"> could ensue</w:t>
      </w:r>
      <w:r w:rsidR="00791087">
        <w:t>, as occurred</w:t>
      </w:r>
      <w:r w:rsidR="002065E6">
        <w:t xml:space="preserve"> </w:t>
      </w:r>
      <w:r>
        <w:t xml:space="preserve">in South Africa. And </w:t>
      </w:r>
      <w:r w:rsidR="00880BD6">
        <w:t xml:space="preserve">it </w:t>
      </w:r>
      <w:r>
        <w:t>has often been pointed out there were probably an average of half a dozen people involved in every murder so we are talking 20,000 accounts</w:t>
      </w:r>
      <w:r w:rsidR="00880BD6">
        <w:t xml:space="preserve"> of truth</w:t>
      </w:r>
      <w:r>
        <w:t>.</w:t>
      </w:r>
    </w:p>
    <w:p w:rsidR="008D30F5" w:rsidRDefault="005F232D" w:rsidP="005F232D">
      <w:pPr>
        <w:pStyle w:val="NoSpacing"/>
        <w:ind w:firstLine="720"/>
        <w:jc w:val="both"/>
      </w:pPr>
      <w:r>
        <w:t xml:space="preserve">The mantra of truth, justice and reconciliation is a false god. Historians alone can bring you toward what constitutes the truth while lack of evidence for prosecutions means justice for </w:t>
      </w:r>
      <w:r w:rsidR="008D30F5">
        <w:t>the</w:t>
      </w:r>
      <w:r>
        <w:t xml:space="preserve"> 3,</w:t>
      </w:r>
      <w:r w:rsidR="00880BD6">
        <w:t>5</w:t>
      </w:r>
      <w:r>
        <w:t xml:space="preserve">00 families is impossible. </w:t>
      </w:r>
    </w:p>
    <w:p w:rsidR="00576D34" w:rsidRDefault="00F33DEF" w:rsidP="005F232D">
      <w:pPr>
        <w:pStyle w:val="NoSpacing"/>
        <w:ind w:firstLine="720"/>
        <w:jc w:val="both"/>
      </w:pPr>
      <w:r>
        <w:t xml:space="preserve">The </w:t>
      </w:r>
      <w:r w:rsidR="005F232D">
        <w:t xml:space="preserve">March </w:t>
      </w:r>
      <w:r w:rsidR="00576D34">
        <w:t xml:space="preserve">2020 </w:t>
      </w:r>
      <w:r>
        <w:t>statement</w:t>
      </w:r>
      <w:r w:rsidR="00093AFC">
        <w:t xml:space="preserve"> was </w:t>
      </w:r>
      <w:r w:rsidR="00F12191">
        <w:t xml:space="preserve">published alongside proposals </w:t>
      </w:r>
      <w:r w:rsidR="002065E6">
        <w:t>which</w:t>
      </w:r>
      <w:r w:rsidR="00F12191">
        <w:t xml:space="preserve"> turned i</w:t>
      </w:r>
      <w:r w:rsidR="00576D34">
        <w:t xml:space="preserve">nto the </w:t>
      </w:r>
      <w:r w:rsidR="00576D34" w:rsidRPr="00576D34">
        <w:t xml:space="preserve">Overseas Operations (Service Personnel and Veterans) </w:t>
      </w:r>
      <w:r w:rsidR="00576D34">
        <w:t xml:space="preserve">Act </w:t>
      </w:r>
      <w:r w:rsidR="00F12191">
        <w:t>2021</w:t>
      </w:r>
      <w:r w:rsidR="00583936">
        <w:t>,</w:t>
      </w:r>
      <w:r w:rsidR="00F12191">
        <w:t xml:space="preserve"> </w:t>
      </w:r>
      <w:r w:rsidR="00093AFC">
        <w:t xml:space="preserve">designed </w:t>
      </w:r>
      <w:r w:rsidR="00F12191">
        <w:t xml:space="preserve">to limit prosecutions </w:t>
      </w:r>
      <w:r>
        <w:t xml:space="preserve">and to a degree re-investigation </w:t>
      </w:r>
      <w:r w:rsidR="00F12191">
        <w:t xml:space="preserve">of </w:t>
      </w:r>
      <w:r>
        <w:t xml:space="preserve">alleged crimes by </w:t>
      </w:r>
      <w:r w:rsidR="00583936">
        <w:t>army veterans</w:t>
      </w:r>
      <w:r w:rsidR="00F12191">
        <w:t xml:space="preserve">. </w:t>
      </w:r>
      <w:r w:rsidR="00583936">
        <w:t xml:space="preserve">(Strasbourg had extended its reach to the acts of soldiers in wars outside the UK). </w:t>
      </w:r>
    </w:p>
    <w:p w:rsidR="002D09D1" w:rsidRDefault="008C1AF0" w:rsidP="005F232D">
      <w:pPr>
        <w:pStyle w:val="NoSpacing"/>
        <w:ind w:firstLine="720"/>
        <w:jc w:val="both"/>
      </w:pPr>
      <w:r>
        <w:t xml:space="preserve">That Act </w:t>
      </w:r>
      <w:r w:rsidR="00911380">
        <w:t>was</w:t>
      </w:r>
      <w:r>
        <w:t xml:space="preserve"> no amnesty, rather it put in place extra hurdles before a prosecution can start. They involve time limits, new evidence, the military context (stress and threat), </w:t>
      </w:r>
      <w:proofErr w:type="gramStart"/>
      <w:r>
        <w:t>the</w:t>
      </w:r>
      <w:proofErr w:type="gramEnd"/>
      <w:r>
        <w:t xml:space="preserve"> public interest in finality and the level of previous investigation. It also allow</w:t>
      </w:r>
      <w:r w:rsidR="00911380">
        <w:t>ed</w:t>
      </w:r>
      <w:r>
        <w:t xml:space="preserve"> for a current prosecution to be discontinued.</w:t>
      </w:r>
      <w:r w:rsidR="00F33DEF">
        <w:t xml:space="preserve"> It ha</w:t>
      </w:r>
      <w:r w:rsidR="00911380">
        <w:t>d</w:t>
      </w:r>
      <w:r w:rsidR="00F33DEF">
        <w:t xml:space="preserve"> vestigial elements of a statute of limitations. Its </w:t>
      </w:r>
      <w:r w:rsidR="00911380">
        <w:t xml:space="preserve">coming into </w:t>
      </w:r>
      <w:r w:rsidR="00F33DEF">
        <w:t xml:space="preserve">existence </w:t>
      </w:r>
      <w:r w:rsidR="00911380">
        <w:t>was</w:t>
      </w:r>
      <w:r w:rsidR="00F33DEF">
        <w:t xml:space="preserve"> </w:t>
      </w:r>
      <w:r w:rsidR="00880BD6">
        <w:t xml:space="preserve">again </w:t>
      </w:r>
      <w:r w:rsidR="00F33DEF">
        <w:t>due to the veterans becoming an independent force in the land.</w:t>
      </w:r>
      <w:r w:rsidR="002D09D1">
        <w:t xml:space="preserve"> But when the gov</w:t>
      </w:r>
      <w:r w:rsidR="00911380">
        <w:t xml:space="preserve">ernment failed to introduce </w:t>
      </w:r>
      <w:r w:rsidR="002D09D1">
        <w:t>promised Op</w:t>
      </w:r>
      <w:r w:rsidR="00880BD6">
        <w:t>eration</w:t>
      </w:r>
      <w:r w:rsidR="002D09D1">
        <w:t xml:space="preserve"> Banner equivalence, Johnny Mercer</w:t>
      </w:r>
      <w:r w:rsidR="00F4305B">
        <w:t>,</w:t>
      </w:r>
      <w:r w:rsidR="002D09D1">
        <w:t xml:space="preserve"> having successfully piloted the Bill on to the statute book</w:t>
      </w:r>
      <w:r w:rsidR="00F4305B">
        <w:t>,</w:t>
      </w:r>
      <w:r w:rsidR="002D09D1">
        <w:t xml:space="preserve"> walked out of his Ministerial job</w:t>
      </w:r>
      <w:r w:rsidR="00F4305B">
        <w:t>. Accusing his bosses of a failure to bring about equivalence</w:t>
      </w:r>
      <w:r w:rsidR="00880BD6">
        <w:t>,</w:t>
      </w:r>
      <w:r w:rsidR="00F4305B">
        <w:t xml:space="preserve"> he became </w:t>
      </w:r>
      <w:r w:rsidR="002D09D1">
        <w:t xml:space="preserve">the hero and </w:t>
      </w:r>
      <w:r w:rsidR="00F4305B">
        <w:t xml:space="preserve">perhaps </w:t>
      </w:r>
      <w:r w:rsidR="002D09D1">
        <w:t>leader of the veterans.</w:t>
      </w:r>
      <w:r w:rsidR="00F33DEF">
        <w:t xml:space="preserve"> </w:t>
      </w:r>
    </w:p>
    <w:p w:rsidR="00F12191" w:rsidRDefault="00F33DEF" w:rsidP="004710D7">
      <w:pPr>
        <w:pStyle w:val="NoSpacing"/>
        <w:ind w:firstLine="720"/>
        <w:jc w:val="both"/>
      </w:pPr>
      <w:r>
        <w:t>The view emanating from the NIO and elsewhere is that if the promised N</w:t>
      </w:r>
      <w:r w:rsidR="00886317">
        <w:t>orthern Ireland</w:t>
      </w:r>
      <w:r>
        <w:t xml:space="preserve"> equivalence for the hundreds of thousands of veterans of Banner</w:t>
      </w:r>
      <w:r w:rsidR="00093AFC">
        <w:t xml:space="preserve"> (1969-2007)</w:t>
      </w:r>
      <w:r>
        <w:t xml:space="preserve"> did materialise</w:t>
      </w:r>
      <w:r w:rsidR="00503053">
        <w:t>,</w:t>
      </w:r>
      <w:r>
        <w:t xml:space="preserve"> it would have to be applied </w:t>
      </w:r>
      <w:r w:rsidR="00503053">
        <w:t xml:space="preserve">across the </w:t>
      </w:r>
      <w:proofErr w:type="gramStart"/>
      <w:r w:rsidR="00503053">
        <w:t>board</w:t>
      </w:r>
      <w:r w:rsidR="00911380">
        <w:t>,</w:t>
      </w:r>
      <w:r w:rsidR="00503053">
        <w:t xml:space="preserve"> </w:t>
      </w:r>
      <w:r w:rsidR="00880BD6">
        <w:t>that</w:t>
      </w:r>
      <w:proofErr w:type="gramEnd"/>
      <w:r w:rsidR="00880BD6">
        <w:t xml:space="preserve"> is</w:t>
      </w:r>
      <w:r w:rsidR="00503053">
        <w:t xml:space="preserve"> to terrorists</w:t>
      </w:r>
      <w:r w:rsidR="00886317">
        <w:t>.</w:t>
      </w:r>
      <w:r>
        <w:t xml:space="preserve"> Whether this </w:t>
      </w:r>
      <w:r w:rsidR="00503053">
        <w:t xml:space="preserve">argument </w:t>
      </w:r>
      <w:r>
        <w:t>is a cover to stave off criticism f</w:t>
      </w:r>
      <w:r w:rsidR="00007942">
        <w:t>rom</w:t>
      </w:r>
      <w:r>
        <w:t xml:space="preserve"> </w:t>
      </w:r>
      <w:r w:rsidR="00503053">
        <w:t xml:space="preserve">nearly </w:t>
      </w:r>
      <w:r>
        <w:t xml:space="preserve">all quarters about an ‘amnesty’ or a genuine concern about consequent litigation in the UK and </w:t>
      </w:r>
      <w:r w:rsidR="00886317">
        <w:t xml:space="preserve">at </w:t>
      </w:r>
      <w:r>
        <w:t xml:space="preserve">Strasbourg is unclear. </w:t>
      </w:r>
      <w:r w:rsidR="00503053">
        <w:t>However t</w:t>
      </w:r>
      <w:r w:rsidR="00007942">
        <w:t xml:space="preserve">he </w:t>
      </w:r>
      <w:r w:rsidR="00886317">
        <w:t xml:space="preserve">ECHR </w:t>
      </w:r>
      <w:r w:rsidR="00007942">
        <w:t>jurisprudence</w:t>
      </w:r>
      <w:r>
        <w:t xml:space="preserve"> </w:t>
      </w:r>
      <w:r w:rsidR="00791087">
        <w:t>may be now thought</w:t>
      </w:r>
      <w:r>
        <w:t xml:space="preserve"> sufficiently open for the NIO to go ahead with </w:t>
      </w:r>
      <w:r>
        <w:lastRenderedPageBreak/>
        <w:t xml:space="preserve">equivalence and then attempt to face down </w:t>
      </w:r>
      <w:r w:rsidR="00886317">
        <w:t xml:space="preserve">the </w:t>
      </w:r>
      <w:r>
        <w:t xml:space="preserve">wall of </w:t>
      </w:r>
      <w:r w:rsidR="00503053">
        <w:t>rage</w:t>
      </w:r>
      <w:r w:rsidR="00007942">
        <w:t xml:space="preserve"> </w:t>
      </w:r>
      <w:r w:rsidR="00886317">
        <w:t xml:space="preserve">and the undoubted lawfare </w:t>
      </w:r>
      <w:r w:rsidR="00007942">
        <w:t>that would ensue.</w:t>
      </w:r>
    </w:p>
    <w:p w:rsidR="00F4305B" w:rsidRDefault="004F5BD0" w:rsidP="00EF57C4">
      <w:pPr>
        <w:pStyle w:val="NoSpacing"/>
        <w:ind w:firstLine="720"/>
        <w:jc w:val="both"/>
      </w:pPr>
      <w:r>
        <w:t>Increasingly</w:t>
      </w:r>
      <w:r w:rsidR="00791087">
        <w:t>,</w:t>
      </w:r>
      <w:r>
        <w:t xml:space="preserve"> throughout the two </w:t>
      </w:r>
      <w:r w:rsidR="0026397C">
        <w:t xml:space="preserve">decades </w:t>
      </w:r>
      <w:r w:rsidR="00215373">
        <w:t xml:space="preserve">of legacy </w:t>
      </w:r>
      <w:r w:rsidR="00961390">
        <w:t xml:space="preserve">and the various </w:t>
      </w:r>
      <w:r w:rsidR="00503053">
        <w:t>reports</w:t>
      </w:r>
      <w:r w:rsidR="00F4305B">
        <w:t xml:space="preserve"> and</w:t>
      </w:r>
      <w:r>
        <w:t xml:space="preserve"> </w:t>
      </w:r>
      <w:r w:rsidR="00215373">
        <w:t xml:space="preserve">proposed </w:t>
      </w:r>
      <w:r w:rsidR="00503053">
        <w:t xml:space="preserve">legislation </w:t>
      </w:r>
      <w:r>
        <w:t xml:space="preserve">there has been a concomitant and accelerating use of the courts to advance </w:t>
      </w:r>
      <w:r w:rsidR="00215373">
        <w:t>one particular point</w:t>
      </w:r>
      <w:r>
        <w:t xml:space="preserve"> of view</w:t>
      </w:r>
      <w:r w:rsidR="00503053">
        <w:t>,</w:t>
      </w:r>
      <w:r>
        <w:t xml:space="preserve"> ably assisted by free legal aid </w:t>
      </w:r>
      <w:r w:rsidR="00F4305B">
        <w:t xml:space="preserve">which is </w:t>
      </w:r>
      <w:r w:rsidR="00503053">
        <w:t>not available to th</w:t>
      </w:r>
      <w:r w:rsidR="00576D34">
        <w:t>e</w:t>
      </w:r>
      <w:r>
        <w:t xml:space="preserve"> </w:t>
      </w:r>
      <w:r w:rsidR="00503053">
        <w:t>reasonably well off</w:t>
      </w:r>
      <w:r w:rsidR="00F4305B">
        <w:t>,</w:t>
      </w:r>
      <w:r w:rsidR="00503053">
        <w:t xml:space="preserve"> such as </w:t>
      </w:r>
      <w:r w:rsidR="00215373">
        <w:t>former</w:t>
      </w:r>
      <w:r w:rsidR="00503053">
        <w:t xml:space="preserve"> police</w:t>
      </w:r>
      <w:r w:rsidR="00215373">
        <w:t xml:space="preserve"> officers</w:t>
      </w:r>
      <w:r w:rsidR="00503053">
        <w:t xml:space="preserve">. </w:t>
      </w:r>
      <w:r w:rsidR="00F4305B">
        <w:t xml:space="preserve">(The </w:t>
      </w:r>
      <w:r w:rsidR="00576D34">
        <w:t xml:space="preserve">association for </w:t>
      </w:r>
      <w:r w:rsidR="00F4305B">
        <w:t xml:space="preserve">retired police, NIRPOA, having won key sections of their case against the Police Ombudsman, Michael Maguire, over his Loughinisland report </w:t>
      </w:r>
      <w:r w:rsidR="00A86C5D">
        <w:t>were amazingly denied th</w:t>
      </w:r>
      <w:r w:rsidR="00215373">
        <w:t>e</w:t>
      </w:r>
      <w:r w:rsidR="00A86C5D">
        <w:t xml:space="preserve">ir </w:t>
      </w:r>
      <w:r w:rsidR="00215373">
        <w:t xml:space="preserve">six figure </w:t>
      </w:r>
      <w:r w:rsidR="00A86C5D">
        <w:t>costs</w:t>
      </w:r>
      <w:r w:rsidR="00215373">
        <w:t>.)</w:t>
      </w:r>
    </w:p>
    <w:p w:rsidR="00883BA1" w:rsidRDefault="007324E4" w:rsidP="00EF57C4">
      <w:pPr>
        <w:pStyle w:val="NoSpacing"/>
        <w:ind w:firstLine="720"/>
        <w:jc w:val="both"/>
      </w:pPr>
      <w:r>
        <w:t>This</w:t>
      </w:r>
      <w:r w:rsidR="004F5BD0">
        <w:t xml:space="preserve"> </w:t>
      </w:r>
      <w:r w:rsidR="00F4305B">
        <w:t xml:space="preserve">development </w:t>
      </w:r>
      <w:r w:rsidR="00911380">
        <w:t>came</w:t>
      </w:r>
      <w:r w:rsidR="004F5BD0">
        <w:t xml:space="preserve"> to be termed </w:t>
      </w:r>
      <w:r w:rsidR="00576D34">
        <w:t>l</w:t>
      </w:r>
      <w:r w:rsidR="004F5BD0">
        <w:t>awfare</w:t>
      </w:r>
      <w:r w:rsidR="00503053">
        <w:t xml:space="preserve"> and is essentially limitless</w:t>
      </w:r>
      <w:r w:rsidR="004F5BD0">
        <w:t xml:space="preserve">. </w:t>
      </w:r>
      <w:r w:rsidR="00F4305B">
        <w:t>I</w:t>
      </w:r>
      <w:r w:rsidR="004F5BD0">
        <w:t>t must be sa</w:t>
      </w:r>
      <w:r w:rsidR="00503053">
        <w:t>i</w:t>
      </w:r>
      <w:r w:rsidR="004F5BD0">
        <w:t>d th</w:t>
      </w:r>
      <w:r w:rsidR="00F4305B">
        <w:t>at</w:t>
      </w:r>
      <w:r w:rsidR="004F5BD0">
        <w:t xml:space="preserve"> lawfare is a considerable </w:t>
      </w:r>
      <w:r>
        <w:t>improvement</w:t>
      </w:r>
      <w:r w:rsidR="004F5BD0">
        <w:t xml:space="preserve"> on warfare but </w:t>
      </w:r>
      <w:r w:rsidR="00503053">
        <w:t xml:space="preserve">it is </w:t>
      </w:r>
      <w:r>
        <w:t>also</w:t>
      </w:r>
      <w:r w:rsidR="004F5BD0">
        <w:t xml:space="preserve"> </w:t>
      </w:r>
      <w:r w:rsidR="00007942">
        <w:t xml:space="preserve">politically </w:t>
      </w:r>
      <w:r>
        <w:t>debilitating</w:t>
      </w:r>
      <w:r w:rsidR="00A86C5D">
        <w:t xml:space="preserve"> for </w:t>
      </w:r>
      <w:r w:rsidR="00503053">
        <w:t>N</w:t>
      </w:r>
      <w:r w:rsidR="00F4305B">
        <w:t>orthern Ireland</w:t>
      </w:r>
      <w:r w:rsidR="004F5BD0">
        <w:t>.</w:t>
      </w:r>
      <w:r w:rsidR="00503053">
        <w:t xml:space="preserve"> One wing of government </w:t>
      </w:r>
      <w:r w:rsidR="00A86C5D">
        <w:t xml:space="preserve">however </w:t>
      </w:r>
      <w:r w:rsidR="00503053">
        <w:t xml:space="preserve">is not wedded to </w:t>
      </w:r>
      <w:r w:rsidR="00791087">
        <w:t xml:space="preserve">normal </w:t>
      </w:r>
      <w:r w:rsidR="00215373">
        <w:t xml:space="preserve">constitutional </w:t>
      </w:r>
      <w:r w:rsidR="00503053">
        <w:t>stability</w:t>
      </w:r>
      <w:r w:rsidR="00F53794">
        <w:t>.</w:t>
      </w:r>
    </w:p>
    <w:p w:rsidR="001D2D3B" w:rsidRDefault="00C24EB3" w:rsidP="00F53794">
      <w:pPr>
        <w:pStyle w:val="NoSpacing"/>
        <w:ind w:firstLine="720"/>
        <w:jc w:val="both"/>
      </w:pPr>
      <w:r>
        <w:t>W</w:t>
      </w:r>
      <w:r w:rsidR="00215373">
        <w:t xml:space="preserve">e are told the </w:t>
      </w:r>
      <w:r>
        <w:t>Belfast Agreement</w:t>
      </w:r>
      <w:r w:rsidR="00F53794">
        <w:t xml:space="preserve"> (GFA)</w:t>
      </w:r>
      <w:r>
        <w:t xml:space="preserve"> </w:t>
      </w:r>
      <w:r w:rsidR="000F09AB">
        <w:t>in 1998</w:t>
      </w:r>
      <w:r w:rsidR="00215373">
        <w:t xml:space="preserve"> brought peace which is </w:t>
      </w:r>
      <w:r w:rsidR="00B17B63">
        <w:t>a</w:t>
      </w:r>
      <w:r w:rsidR="00215373">
        <w:t xml:space="preserve"> myth that needs examined</w:t>
      </w:r>
      <w:r w:rsidR="00F53794">
        <w:t xml:space="preserve">. </w:t>
      </w:r>
      <w:r w:rsidR="00215373">
        <w:t>The GFA itself did not bring peace</w:t>
      </w:r>
      <w:r w:rsidR="00F53794">
        <w:t xml:space="preserve">. </w:t>
      </w:r>
      <w:r w:rsidR="00215373">
        <w:t>The war ended</w:t>
      </w:r>
      <w:r w:rsidR="00791087">
        <w:t>,</w:t>
      </w:r>
      <w:r w:rsidR="00215373">
        <w:t xml:space="preserve"> not because negotiations took place and political compromises were decided. It ended because the IRA c</w:t>
      </w:r>
      <w:r w:rsidR="00F53794">
        <w:t xml:space="preserve">hose to end its 30-year war and the two governments </w:t>
      </w:r>
      <w:r w:rsidR="00791087">
        <w:t>moved</w:t>
      </w:r>
      <w:r w:rsidR="00F53794">
        <w:t xml:space="preserve"> to fill the vacuum</w:t>
      </w:r>
      <w:r w:rsidR="00215373">
        <w:t xml:space="preserve"> with new and complex arrangements</w:t>
      </w:r>
      <w:r w:rsidR="007972AA">
        <w:t>,</w:t>
      </w:r>
      <w:r w:rsidR="00A55ADD">
        <w:t xml:space="preserve"> sometimes </w:t>
      </w:r>
      <w:r w:rsidR="007972AA">
        <w:t>driving</w:t>
      </w:r>
      <w:r w:rsidR="00A55ADD">
        <w:t xml:space="preserve"> Republicans along avenues they had not intended to </w:t>
      </w:r>
      <w:r w:rsidR="007972AA">
        <w:t>travel</w:t>
      </w:r>
      <w:r w:rsidR="00F53794">
        <w:t xml:space="preserve">. </w:t>
      </w:r>
    </w:p>
    <w:p w:rsidR="004727F8" w:rsidRDefault="004727F8" w:rsidP="00EF57C4">
      <w:pPr>
        <w:pStyle w:val="NoSpacing"/>
        <w:ind w:firstLine="720"/>
        <w:jc w:val="both"/>
      </w:pPr>
      <w:r>
        <w:t xml:space="preserve">The real question is why the IRA which had built up a huge amount of </w:t>
      </w:r>
      <w:r w:rsidR="0069321E">
        <w:t>political</w:t>
      </w:r>
      <w:r>
        <w:t xml:space="preserve"> capital by a relentless and militarily effective war</w:t>
      </w:r>
      <w:r w:rsidR="00A97481">
        <w:t xml:space="preserve"> </w:t>
      </w:r>
      <w:r w:rsidR="00911380">
        <w:t xml:space="preserve">(much </w:t>
      </w:r>
      <w:r>
        <w:t>aided by Libyan arms</w:t>
      </w:r>
      <w:r w:rsidR="00911380">
        <w:t>)</w:t>
      </w:r>
      <w:r w:rsidR="00B17B63">
        <w:t>,</w:t>
      </w:r>
      <w:r w:rsidR="0069321E">
        <w:t xml:space="preserve"> had chosen to spend </w:t>
      </w:r>
      <w:r w:rsidR="00215373">
        <w:t>so little of it for so</w:t>
      </w:r>
      <w:r w:rsidR="0069321E">
        <w:t xml:space="preserve"> many years. Their demand for ‘</w:t>
      </w:r>
      <w:r w:rsidR="00C70383">
        <w:t>all-party</w:t>
      </w:r>
      <w:r w:rsidR="0069321E">
        <w:t xml:space="preserve"> talks now’ within ‘a peace </w:t>
      </w:r>
      <w:proofErr w:type="gramStart"/>
      <w:r w:rsidR="0069321E">
        <w:t>process’</w:t>
      </w:r>
      <w:proofErr w:type="gramEnd"/>
      <w:r w:rsidR="0069321E">
        <w:t xml:space="preserve"> proved </w:t>
      </w:r>
      <w:r w:rsidR="00A55ADD">
        <w:t xml:space="preserve">however </w:t>
      </w:r>
      <w:r w:rsidR="0069321E">
        <w:t xml:space="preserve">to be remarkably perceptive and effective. Few if any have noted that a process is a continuous operation ending with the only political victory being sought </w:t>
      </w:r>
      <w:r w:rsidR="00B17B63">
        <w:t>–</w:t>
      </w:r>
      <w:r w:rsidR="0069321E">
        <w:t xml:space="preserve"> </w:t>
      </w:r>
      <w:r w:rsidR="00B17B63">
        <w:t>the demise of Northern Ireland.</w:t>
      </w:r>
      <w:r w:rsidR="0069321E">
        <w:t xml:space="preserve"> Unionism</w:t>
      </w:r>
      <w:r w:rsidR="00B17B63">
        <w:t>,</w:t>
      </w:r>
      <w:r w:rsidR="0069321E">
        <w:t xml:space="preserve"> in contrast</w:t>
      </w:r>
      <w:r w:rsidR="00B17B63">
        <w:t>,</w:t>
      </w:r>
      <w:r w:rsidR="0069321E">
        <w:t xml:space="preserve"> is about </w:t>
      </w:r>
      <w:r w:rsidR="00215373">
        <w:t xml:space="preserve">maintaining the </w:t>
      </w:r>
      <w:r w:rsidR="0069321E">
        <w:t>status quo</w:t>
      </w:r>
      <w:r w:rsidR="00215373">
        <w:t>,</w:t>
      </w:r>
      <w:r w:rsidR="0069321E">
        <w:t xml:space="preserve"> minimising </w:t>
      </w:r>
      <w:r w:rsidR="00B17B63">
        <w:t xml:space="preserve">the giving of </w:t>
      </w:r>
      <w:r w:rsidR="0069321E">
        <w:t>ground</w:t>
      </w:r>
      <w:r w:rsidR="00B17B63">
        <w:t>,</w:t>
      </w:r>
      <w:r w:rsidR="0069321E">
        <w:t xml:space="preserve"> </w:t>
      </w:r>
      <w:r w:rsidR="00215373">
        <w:t xml:space="preserve">indeed often </w:t>
      </w:r>
      <w:r w:rsidR="00A55ADD">
        <w:t xml:space="preserve">just </w:t>
      </w:r>
      <w:r w:rsidR="00B17B63">
        <w:t xml:space="preserve">about </w:t>
      </w:r>
      <w:r w:rsidR="00215373">
        <w:t>hanging on</w:t>
      </w:r>
      <w:r w:rsidR="00A97481">
        <w:t xml:space="preserve"> in</w:t>
      </w:r>
      <w:r w:rsidR="0069321E">
        <w:t xml:space="preserve">. </w:t>
      </w:r>
      <w:r w:rsidR="00B17B63">
        <w:t xml:space="preserve">This is conservative territory which </w:t>
      </w:r>
      <w:r w:rsidR="00A55ADD">
        <w:t xml:space="preserve">can </w:t>
      </w:r>
      <w:r w:rsidR="00B17B63">
        <w:t>never be attractive</w:t>
      </w:r>
      <w:r w:rsidR="004F1692">
        <w:t>,</w:t>
      </w:r>
      <w:r w:rsidR="00B17B63">
        <w:t xml:space="preserve"> especially to the young</w:t>
      </w:r>
      <w:r w:rsidR="00A55ADD">
        <w:t xml:space="preserve"> or woke</w:t>
      </w:r>
      <w:r w:rsidR="00B17B63">
        <w:t>. Northern Ireland</w:t>
      </w:r>
      <w:r w:rsidR="0069321E">
        <w:t xml:space="preserve"> can only lose once. Republicanism for a century has lost over and over but remains vibrant.</w:t>
      </w:r>
      <w:r w:rsidR="00215373" w:rsidRPr="00215373">
        <w:t xml:space="preserve"> </w:t>
      </w:r>
    </w:p>
    <w:p w:rsidR="00CB3CB3" w:rsidRDefault="00A97481" w:rsidP="004F1692">
      <w:pPr>
        <w:pStyle w:val="NoSpacing"/>
        <w:ind w:firstLine="720"/>
        <w:jc w:val="both"/>
      </w:pPr>
      <w:r>
        <w:t>Northern Ireland</w:t>
      </w:r>
      <w:r w:rsidR="00C24EB3">
        <w:t xml:space="preserve"> </w:t>
      </w:r>
      <w:r w:rsidR="00B17B63">
        <w:t>was</w:t>
      </w:r>
      <w:r w:rsidR="00C24EB3">
        <w:t xml:space="preserve"> the longest and most bloody conflict in Europe since 1945 until that in former Yugoslavia</w:t>
      </w:r>
      <w:r w:rsidR="000F09AB">
        <w:t xml:space="preserve"> in 1991</w:t>
      </w:r>
      <w:r w:rsidR="00C24EB3">
        <w:t>.</w:t>
      </w:r>
      <w:r w:rsidR="004727F8">
        <w:t xml:space="preserve"> </w:t>
      </w:r>
      <w:r w:rsidR="00B17B63">
        <w:t>However i</w:t>
      </w:r>
      <w:r w:rsidR="004727F8">
        <w:t>t was treate</w:t>
      </w:r>
      <w:r w:rsidR="00943BEB">
        <w:t>d by London not as a war but</w:t>
      </w:r>
      <w:r w:rsidR="00911380">
        <w:t xml:space="preserve"> as</w:t>
      </w:r>
      <w:r w:rsidR="00943BEB">
        <w:t xml:space="preserve"> </w:t>
      </w:r>
      <w:r w:rsidR="004727F8">
        <w:t>an internal civil dispute</w:t>
      </w:r>
      <w:r w:rsidR="00943BEB">
        <w:t>,</w:t>
      </w:r>
      <w:r w:rsidR="00B17B63">
        <w:t xml:space="preserve"> meaning military options were severely limited and the courts came to predominate</w:t>
      </w:r>
      <w:r w:rsidR="004F1692">
        <w:t xml:space="preserve"> in </w:t>
      </w:r>
      <w:r w:rsidR="00943BEB">
        <w:t xml:space="preserve">conduct control or </w:t>
      </w:r>
      <w:r>
        <w:t xml:space="preserve">in </w:t>
      </w:r>
      <w:r w:rsidR="004F1692">
        <w:t>forcing change</w:t>
      </w:r>
      <w:r w:rsidR="00B17B63">
        <w:t>.</w:t>
      </w:r>
      <w:r w:rsidR="00CB3CB3" w:rsidRPr="00CB3CB3">
        <w:t xml:space="preserve"> </w:t>
      </w:r>
    </w:p>
    <w:p w:rsidR="00791087" w:rsidRDefault="00CB3CB3" w:rsidP="00CB3CB3">
      <w:pPr>
        <w:pStyle w:val="NoSpacing"/>
        <w:ind w:firstLine="720"/>
        <w:jc w:val="both"/>
      </w:pPr>
      <w:r>
        <w:t xml:space="preserve">A </w:t>
      </w:r>
      <w:r w:rsidR="00943BEB">
        <w:t>minority</w:t>
      </w:r>
      <w:r>
        <w:t xml:space="preserve"> of victims</w:t>
      </w:r>
      <w:r w:rsidR="007972AA">
        <w:t>’</w:t>
      </w:r>
      <w:r w:rsidR="00943BEB">
        <w:t xml:space="preserve"> families</w:t>
      </w:r>
      <w:r>
        <w:t xml:space="preserve"> are in </w:t>
      </w:r>
      <w:r w:rsidR="00943BEB">
        <w:t xml:space="preserve">victims </w:t>
      </w:r>
      <w:r>
        <w:t>groups</w:t>
      </w:r>
      <w:r w:rsidR="00A97481">
        <w:t>,</w:t>
      </w:r>
      <w:r>
        <w:t xml:space="preserve"> as the Presbyterian Church has pointed out. It may be that most families have accepted the fact of the death in question, have a good idea of who killed them and why there were killed and accept there is no extra truth or justice available. This applies mo</w:t>
      </w:r>
      <w:r w:rsidR="007972AA">
        <w:t>re</w:t>
      </w:r>
      <w:r>
        <w:t xml:space="preserve"> to the 2,000 killed by the IRA, as state and loyalist deaths can be constantly re-e</w:t>
      </w:r>
      <w:r w:rsidR="00791087">
        <w:t xml:space="preserve">xamined for culpability and </w:t>
      </w:r>
      <w:r>
        <w:t xml:space="preserve">suggestions of ‘collusion’. In the case of security force deaths in the early 1970s when the army was facing an insurrection, and the police had been disarmed, discredited and </w:t>
      </w:r>
      <w:r w:rsidR="00943BEB">
        <w:t xml:space="preserve">disbanded </w:t>
      </w:r>
      <w:r w:rsidR="00911380">
        <w:t>(</w:t>
      </w:r>
      <w:r w:rsidR="00791087">
        <w:t>e.g.</w:t>
      </w:r>
      <w:r w:rsidR="00911380">
        <w:t xml:space="preserve"> </w:t>
      </w:r>
      <w:r w:rsidR="00943BEB">
        <w:t>the Ulster Special Constabulary</w:t>
      </w:r>
      <w:r w:rsidR="00911380">
        <w:t>)</w:t>
      </w:r>
      <w:r>
        <w:t xml:space="preserve">, there was little strategic </w:t>
      </w:r>
      <w:r w:rsidR="00943BEB">
        <w:t>policy</w:t>
      </w:r>
      <w:r>
        <w:t xml:space="preserve"> available. Foolish </w:t>
      </w:r>
      <w:r w:rsidR="00943BEB">
        <w:t xml:space="preserve">and inaccurate </w:t>
      </w:r>
      <w:r>
        <w:t xml:space="preserve">PR statements instead came to the fore as soldier casualties mounted. It has to be said that nothing like the military and police action </w:t>
      </w:r>
      <w:r w:rsidR="00943BEB">
        <w:t xml:space="preserve">in the 1920s in the south of Ireland </w:t>
      </w:r>
      <w:r w:rsidR="00AB7068">
        <w:t xml:space="preserve">with </w:t>
      </w:r>
      <w:r w:rsidR="00943BEB">
        <w:t>the</w:t>
      </w:r>
      <w:r w:rsidR="00AB7068">
        <w:t xml:space="preserve"> </w:t>
      </w:r>
      <w:r w:rsidR="00911380">
        <w:t xml:space="preserve">government </w:t>
      </w:r>
      <w:r w:rsidR="00AB7068">
        <w:t xml:space="preserve">policy of reprisals and assassination </w:t>
      </w:r>
      <w:r>
        <w:t>ever came to pass</w:t>
      </w:r>
      <w:r w:rsidR="00AB7068">
        <w:t xml:space="preserve">. </w:t>
      </w:r>
    </w:p>
    <w:p w:rsidR="007972AA" w:rsidRDefault="007972AA" w:rsidP="00CB3CB3">
      <w:pPr>
        <w:pStyle w:val="NoSpacing"/>
        <w:ind w:firstLine="720"/>
        <w:jc w:val="both"/>
      </w:pPr>
      <w:r>
        <w:t xml:space="preserve">The families of those killed by Republicans and to a </w:t>
      </w:r>
      <w:r w:rsidR="00791087">
        <w:t xml:space="preserve">lesser </w:t>
      </w:r>
      <w:r>
        <w:t xml:space="preserve">degree </w:t>
      </w:r>
      <w:r w:rsidR="00791087">
        <w:t xml:space="preserve">by </w:t>
      </w:r>
      <w:r>
        <w:t>Loyalists</w:t>
      </w:r>
      <w:r w:rsidR="00A97481">
        <w:t xml:space="preserve"> </w:t>
      </w:r>
      <w:r>
        <w:t xml:space="preserve">are often motivated not by concepts of truth, justice and reconciliation but simply </w:t>
      </w:r>
      <w:r w:rsidR="00911380">
        <w:t xml:space="preserve">by </w:t>
      </w:r>
      <w:proofErr w:type="gramStart"/>
      <w:r>
        <w:t>an anger</w:t>
      </w:r>
      <w:proofErr w:type="gramEnd"/>
      <w:r>
        <w:t xml:space="preserve"> that their loved one died for no purpose and now their memory is discarded and unrecognised </w:t>
      </w:r>
      <w:r w:rsidR="00911380">
        <w:t>as</w:t>
      </w:r>
      <w:r>
        <w:t xml:space="preserve"> all focus is elsewhere.</w:t>
      </w:r>
    </w:p>
    <w:p w:rsidR="00F41C27" w:rsidRDefault="00576D34" w:rsidP="00576D34">
      <w:pPr>
        <w:pStyle w:val="NoSpacing"/>
        <w:ind w:firstLine="720"/>
        <w:jc w:val="both"/>
      </w:pPr>
      <w:r>
        <w:t>T</w:t>
      </w:r>
      <w:r w:rsidRPr="001F29F3">
        <w:t>he courts</w:t>
      </w:r>
      <w:r>
        <w:t>,</w:t>
      </w:r>
      <w:r w:rsidRPr="001F29F3">
        <w:t xml:space="preserve"> </w:t>
      </w:r>
      <w:r>
        <w:t xml:space="preserve">especially in Belfast, </w:t>
      </w:r>
      <w:r w:rsidRPr="001F29F3">
        <w:t>remain open to judicial reviews</w:t>
      </w:r>
      <w:r>
        <w:t>,</w:t>
      </w:r>
      <w:r w:rsidRPr="001F29F3">
        <w:t xml:space="preserve"> demands for the re-</w:t>
      </w:r>
      <w:r>
        <w:t xml:space="preserve">opening of </w:t>
      </w:r>
      <w:r w:rsidRPr="001F29F3">
        <w:t>inq</w:t>
      </w:r>
      <w:r>
        <w:t>uests, civil suits for damages,</w:t>
      </w:r>
      <w:r w:rsidRPr="001F29F3">
        <w:t xml:space="preserve"> challenges on convictions, requests for new </w:t>
      </w:r>
      <w:r w:rsidRPr="001F29F3">
        <w:lastRenderedPageBreak/>
        <w:t>public inquiries</w:t>
      </w:r>
      <w:r w:rsidR="00911380">
        <w:t>,</w:t>
      </w:r>
      <w:r w:rsidR="00F41C27">
        <w:t xml:space="preserve"> all alongside</w:t>
      </w:r>
      <w:r w:rsidRPr="001F29F3">
        <w:t xml:space="preserve"> </w:t>
      </w:r>
      <w:r w:rsidR="00F41C27">
        <w:t xml:space="preserve">PONI investigations </w:t>
      </w:r>
      <w:r w:rsidRPr="001F29F3">
        <w:t>and Strasbourg cases. The value and cost of</w:t>
      </w:r>
      <w:r>
        <w:t xml:space="preserve"> this activity needs questioned but it would take a brave government to put in place legislation to curb, let alone stop this industry. </w:t>
      </w:r>
      <w:r w:rsidR="00F41C27">
        <w:t>It could however abandon the myriad of institutions promised in Stormont House which will only compound the problem and provide infinite employment opportunities fo</w:t>
      </w:r>
      <w:r w:rsidR="00166A20">
        <w:t>r new law graduates.</w:t>
      </w:r>
    </w:p>
    <w:p w:rsidR="00576D34" w:rsidRDefault="00A97481" w:rsidP="00576D34">
      <w:pPr>
        <w:pStyle w:val="NoSpacing"/>
        <w:ind w:firstLine="720"/>
        <w:jc w:val="both"/>
      </w:pPr>
      <w:r>
        <w:t>Re-opened i</w:t>
      </w:r>
      <w:r w:rsidR="00576D34">
        <w:t>nquests alone whose numbers are mount</w:t>
      </w:r>
      <w:r w:rsidR="00F41C27">
        <w:t xml:space="preserve">ing </w:t>
      </w:r>
      <w:r w:rsidR="00911380">
        <w:t xml:space="preserve">took </w:t>
      </w:r>
      <w:r w:rsidR="00F41C27">
        <w:t xml:space="preserve">over the role of public inquiries, going beyond their </w:t>
      </w:r>
      <w:r>
        <w:t xml:space="preserve">limited </w:t>
      </w:r>
      <w:r w:rsidR="00911380">
        <w:t>powers</w:t>
      </w:r>
      <w:r w:rsidR="00F41C27">
        <w:t xml:space="preserve"> in statute. The Kingsmill</w:t>
      </w:r>
      <w:r>
        <w:t xml:space="preserve"> massacre </w:t>
      </w:r>
      <w:r w:rsidR="00F41C27">
        <w:t>aside</w:t>
      </w:r>
      <w:r>
        <w:t>,</w:t>
      </w:r>
      <w:r w:rsidR="00F41C27">
        <w:t xml:space="preserve"> most involve state killings or those where collusion is alleged. Haass refused to even consider incorporating</w:t>
      </w:r>
      <w:r>
        <w:t xml:space="preserve"> inquests in his new bodies because of ‘Article 2 compliance’ assertions, something that went </w:t>
      </w:r>
      <w:r w:rsidR="00F41C27">
        <w:t>unchallenged</w:t>
      </w:r>
      <w:r>
        <w:t xml:space="preserve"> </w:t>
      </w:r>
      <w:r w:rsidR="00F41C27">
        <w:t>by the DUP. And it is ECHR Article 2 which is the motor for most of the reinvestigation.</w:t>
      </w:r>
      <w:r>
        <w:t xml:space="preserve"> Indeed a case can be made for almost every</w:t>
      </w:r>
      <w:r w:rsidR="00911380">
        <w:t xml:space="preserve"> </w:t>
      </w:r>
      <w:r>
        <w:t xml:space="preserve">one of the Troubles deaths having a re-opened inquest. And </w:t>
      </w:r>
      <w:r w:rsidR="00911380">
        <w:t xml:space="preserve">they </w:t>
      </w:r>
      <w:r>
        <w:t>may yet.</w:t>
      </w:r>
    </w:p>
    <w:p w:rsidR="00576D34" w:rsidRPr="00F41C27" w:rsidRDefault="00F41C27" w:rsidP="00CB3CB3">
      <w:pPr>
        <w:pStyle w:val="NoSpacing"/>
        <w:ind w:firstLine="720"/>
        <w:jc w:val="both"/>
        <w:rPr>
          <w:sz w:val="20"/>
          <w:szCs w:val="20"/>
        </w:rPr>
      </w:pPr>
      <w:r>
        <w:t xml:space="preserve">It is worth quoting </w:t>
      </w:r>
      <w:r w:rsidR="00571109">
        <w:t>both</w:t>
      </w:r>
      <w:r w:rsidR="00A97481">
        <w:t xml:space="preserve"> parts of </w:t>
      </w:r>
      <w:r>
        <w:t xml:space="preserve">Article </w:t>
      </w:r>
      <w:r w:rsidR="00A97481">
        <w:t xml:space="preserve">2 </w:t>
      </w:r>
      <w:r>
        <w:t>in full</w:t>
      </w:r>
      <w:r w:rsidR="00A97481">
        <w:t>,</w:t>
      </w:r>
      <w:r w:rsidR="00571109">
        <w:t xml:space="preserve"> especially the second which seems rarely to be argued in aid</w:t>
      </w:r>
      <w:r>
        <w:t>:</w:t>
      </w:r>
    </w:p>
    <w:p w:rsidR="00F41C27" w:rsidRPr="00F41C27" w:rsidRDefault="00F41C27" w:rsidP="00F41C27">
      <w:pPr>
        <w:spacing w:after="0" w:line="240" w:lineRule="auto"/>
        <w:jc w:val="both"/>
      </w:pPr>
      <w:r w:rsidRPr="00F41C27">
        <w:t xml:space="preserve">“1. Everyone's right to life shall be protected by law. No one shall be deprived of his life intentionally save in the execution of a sentence of a court following his conviction of a crime for which this penalty is provided by law. </w:t>
      </w:r>
    </w:p>
    <w:p w:rsidR="00F41C27" w:rsidRPr="00F41C27" w:rsidRDefault="00F41C27" w:rsidP="00F41C27">
      <w:pPr>
        <w:spacing w:after="0" w:line="240" w:lineRule="auto"/>
        <w:jc w:val="both"/>
      </w:pPr>
      <w:r w:rsidRPr="00F41C27">
        <w:t xml:space="preserve">2. Deprivation of life shall not be regarded as inflicted in contravention of this article when it results from the use of force which is no more than absolutely necessary: </w:t>
      </w:r>
    </w:p>
    <w:p w:rsidR="00F41C27" w:rsidRPr="00F41C27" w:rsidRDefault="00F41C27" w:rsidP="00F41C27">
      <w:pPr>
        <w:spacing w:after="0" w:line="240" w:lineRule="auto"/>
        <w:jc w:val="both"/>
      </w:pPr>
      <w:r w:rsidRPr="00F41C27">
        <w:t xml:space="preserve">(a) </w:t>
      </w:r>
      <w:proofErr w:type="gramStart"/>
      <w:r w:rsidRPr="00F41C27">
        <w:t>in</w:t>
      </w:r>
      <w:proofErr w:type="gramEnd"/>
      <w:r w:rsidRPr="00F41C27">
        <w:t xml:space="preserve"> defence of any person from unlawful violence; </w:t>
      </w:r>
    </w:p>
    <w:p w:rsidR="00F41C27" w:rsidRPr="00F41C27" w:rsidRDefault="00F41C27" w:rsidP="00F41C27">
      <w:pPr>
        <w:spacing w:after="0" w:line="240" w:lineRule="auto"/>
        <w:jc w:val="both"/>
      </w:pPr>
      <w:r w:rsidRPr="00F41C27">
        <w:t xml:space="preserve">(b) </w:t>
      </w:r>
      <w:proofErr w:type="gramStart"/>
      <w:r w:rsidRPr="00F41C27">
        <w:t>in</w:t>
      </w:r>
      <w:proofErr w:type="gramEnd"/>
      <w:r w:rsidRPr="00F41C27">
        <w:t xml:space="preserve"> order to effect a lawful arrest or to prevent escape of a person lawfully detained; </w:t>
      </w:r>
    </w:p>
    <w:p w:rsidR="00F41C27" w:rsidRDefault="00F41C27" w:rsidP="00F41C27">
      <w:pPr>
        <w:spacing w:after="0" w:line="240" w:lineRule="auto"/>
        <w:jc w:val="both"/>
      </w:pPr>
      <w:r w:rsidRPr="00F41C27">
        <w:t xml:space="preserve">(c) </w:t>
      </w:r>
      <w:proofErr w:type="gramStart"/>
      <w:r w:rsidRPr="00F41C27">
        <w:t>in</w:t>
      </w:r>
      <w:proofErr w:type="gramEnd"/>
      <w:r w:rsidRPr="00F41C27">
        <w:t xml:space="preserve"> action lawfully taken for the purpose of quelling a riot or insurrection.” </w:t>
      </w:r>
    </w:p>
    <w:p w:rsidR="00F41C27" w:rsidRDefault="00571109" w:rsidP="00F41C27">
      <w:pPr>
        <w:spacing w:after="0" w:line="240" w:lineRule="auto"/>
        <w:jc w:val="both"/>
      </w:pPr>
      <w:r>
        <w:tab/>
        <w:t>Legal opinion on Article 2 (procedural) differs although that would be hard to notice in the discussions</w:t>
      </w:r>
      <w:r w:rsidR="00A97481">
        <w:t>,</w:t>
      </w:r>
      <w:r>
        <w:t xml:space="preserve"> especially in the broadcast media. The Malone House Group </w:t>
      </w:r>
      <w:r w:rsidR="006A541A">
        <w:t xml:space="preserve">(MHG) </w:t>
      </w:r>
      <w:r>
        <w:t xml:space="preserve">which is a recognised NGO at Strasbourg has taken issue with the conventional wisdom </w:t>
      </w:r>
      <w:r w:rsidR="006A541A">
        <w:t>in several submissions to be found on the Council of Europe website</w:t>
      </w:r>
      <w:r w:rsidR="00911380">
        <w:rPr>
          <w:rStyle w:val="FootnoteReference"/>
        </w:rPr>
        <w:footnoteReference w:id="3"/>
      </w:r>
      <w:r w:rsidR="006A541A">
        <w:t>. A</w:t>
      </w:r>
      <w:r>
        <w:t xml:space="preserve">s yet </w:t>
      </w:r>
      <w:r w:rsidR="00911380">
        <w:t>they</w:t>
      </w:r>
      <w:r w:rsidR="006A541A">
        <w:t xml:space="preserve"> remain a minority view</w:t>
      </w:r>
      <w:r w:rsidR="00117ED6">
        <w:t xml:space="preserve"> (see below)</w:t>
      </w:r>
      <w:r w:rsidR="00DA3DF1">
        <w:t>.</w:t>
      </w:r>
      <w:r>
        <w:t xml:space="preserve"> </w:t>
      </w:r>
    </w:p>
    <w:p w:rsidR="000D27C1" w:rsidRDefault="00117ED6" w:rsidP="000D27C1">
      <w:pPr>
        <w:pStyle w:val="NoSpacing"/>
        <w:ind w:firstLine="720"/>
        <w:jc w:val="both"/>
      </w:pPr>
      <w:r>
        <w:t xml:space="preserve"> </w:t>
      </w:r>
      <w:r w:rsidR="006A541A">
        <w:t xml:space="preserve">‘Article 2 compliance’ can be </w:t>
      </w:r>
      <w:r w:rsidR="00DA3DF1">
        <w:t xml:space="preserve">and has been </w:t>
      </w:r>
      <w:r w:rsidR="006A541A">
        <w:t xml:space="preserve">achieved in a dozen different ways if the Committee of Ministers can be brought </w:t>
      </w:r>
      <w:r w:rsidR="00DA3DF1">
        <w:t xml:space="preserve">diplomatically to a better understanding </w:t>
      </w:r>
      <w:r w:rsidR="000D27C1">
        <w:t xml:space="preserve">of what is needed in </w:t>
      </w:r>
      <w:r w:rsidR="00DA3DF1">
        <w:t>Northern Ireland cases</w:t>
      </w:r>
      <w:r w:rsidR="006A541A">
        <w:t xml:space="preserve">. There is no sign however that our </w:t>
      </w:r>
      <w:r w:rsidR="00DA3DF1">
        <w:t>diplomats</w:t>
      </w:r>
      <w:r w:rsidR="006A541A">
        <w:t xml:space="preserve"> </w:t>
      </w:r>
      <w:r w:rsidR="00DA3DF1">
        <w:t xml:space="preserve">at </w:t>
      </w:r>
      <w:r w:rsidR="006A541A">
        <w:t xml:space="preserve">Strasbourg </w:t>
      </w:r>
      <w:r w:rsidR="00DA3DF1">
        <w:t xml:space="preserve">are working </w:t>
      </w:r>
      <w:r w:rsidR="006A541A">
        <w:t>on the</w:t>
      </w:r>
      <w:r w:rsidR="000D27C1">
        <w:t xml:space="preserve"> other 46 </w:t>
      </w:r>
      <w:r w:rsidR="006A541A">
        <w:t xml:space="preserve">member states, many </w:t>
      </w:r>
      <w:r w:rsidR="000D27C1">
        <w:t xml:space="preserve">of </w:t>
      </w:r>
      <w:r w:rsidR="006A541A">
        <w:t xml:space="preserve">which would be pleased to avoid the Court’s lash. Ireland can however be excluded </w:t>
      </w:r>
      <w:r w:rsidR="000D27C1">
        <w:t xml:space="preserve">as it has the whip hand </w:t>
      </w:r>
      <w:r w:rsidR="006A541A">
        <w:t>being one of the six countries on ‘the Bureau’ that controls the Committee agenda.</w:t>
      </w:r>
      <w:r w:rsidR="000D27C1" w:rsidRPr="000D27C1">
        <w:t xml:space="preserve"> </w:t>
      </w:r>
    </w:p>
    <w:p w:rsidR="00EB4A3C" w:rsidRDefault="000D27C1" w:rsidP="000D27C1">
      <w:pPr>
        <w:pStyle w:val="NoSpacing"/>
        <w:ind w:firstLine="720"/>
        <w:jc w:val="both"/>
      </w:pPr>
      <w:r>
        <w:t xml:space="preserve">It is worth noting that the Supreme Court says on its website, “UK courts are not required, however, always to follow the decisions of the Strasbourg Court. Indeed, they can decline to do so, particularly if they consider that that Court has not sufficiently appreciated or accommodated particular aspects of our domestic constitutional position.” </w:t>
      </w:r>
    </w:p>
    <w:p w:rsidR="000D27C1" w:rsidRDefault="00EB4A3C" w:rsidP="000D27C1">
      <w:pPr>
        <w:pStyle w:val="NoSpacing"/>
        <w:ind w:firstLine="720"/>
        <w:jc w:val="both"/>
      </w:pPr>
      <w:r>
        <w:t xml:space="preserve">That however has not prevented </w:t>
      </w:r>
      <w:r w:rsidR="00C70383">
        <w:t>judg</w:t>
      </w:r>
      <w:r w:rsidR="006A0E71">
        <w:t xml:space="preserve">ments </w:t>
      </w:r>
      <w:r>
        <w:t>in a series of cases</w:t>
      </w:r>
      <w:r w:rsidR="006A0E71">
        <w:t xml:space="preserve"> </w:t>
      </w:r>
      <w:r>
        <w:t>going against</w:t>
      </w:r>
      <w:r w:rsidR="00A91621">
        <w:t xml:space="preserve"> that position. There have </w:t>
      </w:r>
      <w:r>
        <w:t xml:space="preserve">four hugely important </w:t>
      </w:r>
      <w:r w:rsidR="00A91621">
        <w:t>jud</w:t>
      </w:r>
      <w:r w:rsidR="00C70383">
        <w:t>g</w:t>
      </w:r>
      <w:r w:rsidR="00A91621">
        <w:t>ments</w:t>
      </w:r>
      <w:r>
        <w:t xml:space="preserve"> in relation</w:t>
      </w:r>
      <w:r w:rsidR="00A91621">
        <w:t xml:space="preserve"> to the Troubles </w:t>
      </w:r>
      <w:r>
        <w:t xml:space="preserve">made </w:t>
      </w:r>
      <w:r w:rsidR="00A91621">
        <w:t xml:space="preserve">recently in the </w:t>
      </w:r>
      <w:r>
        <w:t xml:space="preserve">Belfast </w:t>
      </w:r>
      <w:r w:rsidR="00166A20">
        <w:t>c</w:t>
      </w:r>
      <w:r>
        <w:t xml:space="preserve">ourts and in </w:t>
      </w:r>
      <w:r w:rsidR="00166A20">
        <w:t>two</w:t>
      </w:r>
      <w:r>
        <w:t xml:space="preserve"> </w:t>
      </w:r>
      <w:r w:rsidR="00A91621">
        <w:t>instances on appeal</w:t>
      </w:r>
      <w:r>
        <w:t xml:space="preserve"> to the Supreme Court</w:t>
      </w:r>
      <w:r w:rsidR="00A91621">
        <w:t xml:space="preserve">. They all require close analysis </w:t>
      </w:r>
      <w:r w:rsidR="00B730E7">
        <w:t>but suggest a new balance in how the local judiciary since the 1998 agreement view</w:t>
      </w:r>
      <w:r w:rsidR="00166A20">
        <w:t>s</w:t>
      </w:r>
      <w:r w:rsidR="00B730E7">
        <w:t xml:space="preserve"> the past and indeed the future.</w:t>
      </w:r>
    </w:p>
    <w:p w:rsidR="00975FD4" w:rsidRDefault="00A91621" w:rsidP="00975FD4">
      <w:pPr>
        <w:pStyle w:val="NoSpacing"/>
        <w:ind w:firstLine="720"/>
        <w:jc w:val="both"/>
      </w:pPr>
      <w:r>
        <w:t xml:space="preserve">They are </w:t>
      </w:r>
      <w:r w:rsidR="002A6155">
        <w:t xml:space="preserve">firstly </w:t>
      </w:r>
      <w:r>
        <w:t xml:space="preserve">the hooded men case where two </w:t>
      </w:r>
      <w:r w:rsidR="00B703AB">
        <w:t xml:space="preserve">consecutive </w:t>
      </w:r>
      <w:r w:rsidR="00C70383">
        <w:t>Strasbourg judg</w:t>
      </w:r>
      <w:r>
        <w:t xml:space="preserve">ments </w:t>
      </w:r>
      <w:r w:rsidR="002A6155">
        <w:t>about torture</w:t>
      </w:r>
      <w:r w:rsidR="00FA6808">
        <w:t xml:space="preserve"> as opposed to inhuman treatment</w:t>
      </w:r>
      <w:r w:rsidR="002A6155">
        <w:t xml:space="preserve"> </w:t>
      </w:r>
      <w:r w:rsidR="00AD4144">
        <w:t xml:space="preserve">of detainees </w:t>
      </w:r>
      <w:r w:rsidR="002A6155">
        <w:t xml:space="preserve">in </w:t>
      </w:r>
      <w:r w:rsidR="00AD4144">
        <w:t xml:space="preserve">August </w:t>
      </w:r>
      <w:r w:rsidR="002A6155">
        <w:t xml:space="preserve">1971 </w:t>
      </w:r>
      <w:r>
        <w:t xml:space="preserve">were actually overturned </w:t>
      </w:r>
      <w:r w:rsidR="00975FD4">
        <w:t>in the Court of Appeal in Belfast</w:t>
      </w:r>
      <w:r w:rsidR="00166A20">
        <w:t xml:space="preserve"> in 2019 </w:t>
      </w:r>
      <w:r>
        <w:t>in a unique decision by the L</w:t>
      </w:r>
      <w:r w:rsidR="002A6155">
        <w:t xml:space="preserve">ord Chief </w:t>
      </w:r>
      <w:r w:rsidR="002A6155">
        <w:lastRenderedPageBreak/>
        <w:t>Justice</w:t>
      </w:r>
      <w:r w:rsidR="00AD4144">
        <w:t>,</w:t>
      </w:r>
      <w:r w:rsidR="002A6155">
        <w:t xml:space="preserve"> Sir Declan Morgan</w:t>
      </w:r>
      <w:r w:rsidR="00AD4144">
        <w:t>,</w:t>
      </w:r>
      <w:r w:rsidR="002A6155">
        <w:t xml:space="preserve"> and </w:t>
      </w:r>
      <w:r w:rsidR="00166A20">
        <w:t xml:space="preserve">Sir </w:t>
      </w:r>
      <w:r>
        <w:t>Ben Stephens</w:t>
      </w:r>
      <w:r w:rsidR="002A6155">
        <w:t xml:space="preserve"> (N</w:t>
      </w:r>
      <w:r w:rsidR="00AD4144">
        <w:t>orthern Ireland’s</w:t>
      </w:r>
      <w:r w:rsidR="002A6155">
        <w:t xml:space="preserve"> new judge on the Supreme Court)</w:t>
      </w:r>
      <w:r w:rsidR="00166A20">
        <w:t>,</w:t>
      </w:r>
      <w:r w:rsidR="002A6155">
        <w:t xml:space="preserve"> with Sir Donnell</w:t>
      </w:r>
      <w:r>
        <w:t xml:space="preserve"> Deeny </w:t>
      </w:r>
      <w:r w:rsidR="00A84CBE">
        <w:t xml:space="preserve">valiantly </w:t>
      </w:r>
      <w:r>
        <w:t>disse</w:t>
      </w:r>
      <w:r w:rsidR="00975FD4">
        <w:t>n</w:t>
      </w:r>
      <w:r>
        <w:t>ting</w:t>
      </w:r>
      <w:r w:rsidR="00975FD4">
        <w:rPr>
          <w:rStyle w:val="FootnoteReference"/>
        </w:rPr>
        <w:footnoteReference w:id="4"/>
      </w:r>
      <w:r>
        <w:t>.</w:t>
      </w:r>
      <w:r w:rsidR="00FA6808">
        <w:t xml:space="preserve"> </w:t>
      </w:r>
      <w:r w:rsidR="00975FD4">
        <w:rPr>
          <w:sz w:val="23"/>
          <w:szCs w:val="23"/>
        </w:rPr>
        <w:t>By a majority of two to one</w:t>
      </w:r>
      <w:r w:rsidR="00B703AB">
        <w:rPr>
          <w:sz w:val="23"/>
          <w:szCs w:val="23"/>
        </w:rPr>
        <w:t>,</w:t>
      </w:r>
      <w:r w:rsidR="00975FD4">
        <w:rPr>
          <w:sz w:val="23"/>
          <w:szCs w:val="23"/>
        </w:rPr>
        <w:t xml:space="preserve"> the </w:t>
      </w:r>
      <w:r w:rsidR="00FA6808">
        <w:rPr>
          <w:sz w:val="23"/>
          <w:szCs w:val="23"/>
        </w:rPr>
        <w:t xml:space="preserve">Belfast </w:t>
      </w:r>
      <w:r w:rsidR="00975FD4">
        <w:rPr>
          <w:sz w:val="23"/>
          <w:szCs w:val="23"/>
        </w:rPr>
        <w:t>Court “was satisfied that the treatment to which Hooded Men had been subjected to would if it occurred today properly be characterised as torture, bearing in mind that the European Convention on Human Rights is a living instrument, but that the test had not been met to enable an Article 2 or 3 procedural investigation to take place given the passage of time.”</w:t>
      </w:r>
      <w:r w:rsidR="00B703AB">
        <w:rPr>
          <w:sz w:val="23"/>
          <w:szCs w:val="23"/>
        </w:rPr>
        <w:t xml:space="preserve"> Overturning Strasbourg was a new departure for a UK court if hardly noticed.</w:t>
      </w:r>
    </w:p>
    <w:p w:rsidR="006176E5" w:rsidRDefault="00AD4144" w:rsidP="000D27C1">
      <w:pPr>
        <w:pStyle w:val="NoSpacing"/>
        <w:ind w:firstLine="720"/>
        <w:jc w:val="both"/>
        <w:rPr>
          <w:rStyle w:val="FootnoteReference"/>
        </w:rPr>
      </w:pPr>
      <w:r>
        <w:t>Secondly</w:t>
      </w:r>
      <w:r w:rsidR="00B703AB">
        <w:t>,</w:t>
      </w:r>
      <w:r>
        <w:t xml:space="preserve"> t</w:t>
      </w:r>
      <w:r w:rsidR="00A91621">
        <w:t xml:space="preserve">he </w:t>
      </w:r>
      <w:proofErr w:type="gramStart"/>
      <w:r w:rsidR="005E4F84">
        <w:t xml:space="preserve">judgment </w:t>
      </w:r>
      <w:r w:rsidR="00FA6808">
        <w:t>of 13 May 2020</w:t>
      </w:r>
      <w:r w:rsidR="005D7714">
        <w:rPr>
          <w:rStyle w:val="FootnoteReference"/>
        </w:rPr>
        <w:footnoteReference w:id="5"/>
      </w:r>
      <w:r w:rsidR="00FA6808">
        <w:t xml:space="preserve"> </w:t>
      </w:r>
      <w:r w:rsidR="005E4F84">
        <w:t xml:space="preserve">in the </w:t>
      </w:r>
      <w:r w:rsidR="00A91621">
        <w:t>Gerry Adams custody order</w:t>
      </w:r>
      <w:proofErr w:type="gramEnd"/>
      <w:r w:rsidR="00A91621">
        <w:t xml:space="preserve"> case</w:t>
      </w:r>
      <w:r w:rsidR="005E4F84">
        <w:t xml:space="preserve"> </w:t>
      </w:r>
      <w:r w:rsidR="00A91621">
        <w:t xml:space="preserve">at the Supreme Court </w:t>
      </w:r>
      <w:r w:rsidR="00B703AB">
        <w:t xml:space="preserve">which </w:t>
      </w:r>
      <w:r>
        <w:t xml:space="preserve">was written </w:t>
      </w:r>
      <w:r w:rsidR="00A91621">
        <w:t xml:space="preserve">by </w:t>
      </w:r>
      <w:r w:rsidR="00B703AB">
        <w:t xml:space="preserve">the late </w:t>
      </w:r>
      <w:r>
        <w:t xml:space="preserve">Lord </w:t>
      </w:r>
      <w:r w:rsidR="00B703AB">
        <w:t>Brian Kerr</w:t>
      </w:r>
      <w:r w:rsidR="005E4D03">
        <w:t>.</w:t>
      </w:r>
      <w:r w:rsidR="005E4D03" w:rsidRPr="005E4D03">
        <w:t xml:space="preserve"> </w:t>
      </w:r>
      <w:r w:rsidR="005E4D03">
        <w:t>It was one where the context of the violent time in 197</w:t>
      </w:r>
      <w:r w:rsidR="004D68A4">
        <w:t>3</w:t>
      </w:r>
      <w:r w:rsidR="005E4D03">
        <w:t xml:space="preserve"> was ignored and the order overturned. It is reflective of a new legal, political understanding in the land especially on precedent</w:t>
      </w:r>
      <w:r w:rsidR="005E4D03">
        <w:rPr>
          <w:rStyle w:val="FootnoteReference"/>
        </w:rPr>
        <w:footnoteReference w:id="6"/>
      </w:r>
      <w:r w:rsidR="005E4D03">
        <w:t>. Several articles by Malone House Group personnel about the reasoning have been published</w:t>
      </w:r>
      <w:r w:rsidR="005E4D03">
        <w:rPr>
          <w:rStyle w:val="FootnoteReference"/>
        </w:rPr>
        <w:footnoteReference w:id="7"/>
      </w:r>
      <w:r w:rsidR="005E4D03">
        <w:t xml:space="preserve"> while the think tank Policy Exchange has sought legislative action to restore the Carltona principle which the late Lord Kerr dispensed with. It concerns junior ministers and civil servants being able to take decisions on behalf of Secretaries of State.</w:t>
      </w:r>
      <w:r w:rsidR="005E4D03" w:rsidRPr="00376E6E">
        <w:t xml:space="preserve"> </w:t>
      </w:r>
    </w:p>
    <w:p w:rsidR="00A91621" w:rsidRDefault="00A91621" w:rsidP="000D27C1">
      <w:pPr>
        <w:pStyle w:val="NoSpacing"/>
        <w:ind w:firstLine="720"/>
        <w:jc w:val="both"/>
      </w:pPr>
      <w:r>
        <w:t xml:space="preserve">And </w:t>
      </w:r>
      <w:r w:rsidR="00AD4144">
        <w:t>thirdly</w:t>
      </w:r>
      <w:r w:rsidR="00B703AB">
        <w:t>,</w:t>
      </w:r>
      <w:r w:rsidR="00AD4144">
        <w:t xml:space="preserve"> </w:t>
      </w:r>
      <w:r>
        <w:t>the Finucan</w:t>
      </w:r>
      <w:r w:rsidR="004A63C3">
        <w:t>e case</w:t>
      </w:r>
      <w:r>
        <w:t xml:space="preserve"> at the Supreme Court </w:t>
      </w:r>
      <w:r w:rsidR="00B703AB">
        <w:t xml:space="preserve">also </w:t>
      </w:r>
      <w:r>
        <w:t xml:space="preserve">on Article 2 </w:t>
      </w:r>
      <w:r w:rsidR="004A63C3">
        <w:t>and also written</w:t>
      </w:r>
      <w:r w:rsidR="005E4F84">
        <w:t>,</w:t>
      </w:r>
      <w:r w:rsidR="004A63C3">
        <w:t xml:space="preserve"> in </w:t>
      </w:r>
      <w:r w:rsidR="00B703AB">
        <w:t xml:space="preserve">the </w:t>
      </w:r>
      <w:r w:rsidR="004A63C3">
        <w:t>most part</w:t>
      </w:r>
      <w:r w:rsidR="005E4F84">
        <w:t>,</w:t>
      </w:r>
      <w:r w:rsidR="004A63C3">
        <w:t xml:space="preserve"> by Brian Kerr although the final paragraph was inserted by the others</w:t>
      </w:r>
      <w:r w:rsidR="00B703AB">
        <w:t xml:space="preserve"> judges</w:t>
      </w:r>
      <w:r w:rsidR="00F8150C">
        <w:t>:</w:t>
      </w:r>
      <w:r w:rsidR="00C81E4E">
        <w:t xml:space="preserve"> “</w:t>
      </w:r>
      <w:r w:rsidR="00C81E4E" w:rsidRPr="005E4F84">
        <w:t>I would therefore make a declaration that there has not been an article 2 compliant inquiry into the death of Patrick Finucane. It does not follow that a public inquiry of the type which the appellant seeks must be ordered. It is for the state to decide, in light of the incapacity of Sir Desmond de Silva’s review and the inquiries which preceded it to meet the procedural requirement of article 2, what form of investigation, if indeed any is now feasible, is required in order to meet that requirement.</w:t>
      </w:r>
      <w:r w:rsidR="00C81E4E">
        <w:t>”</w:t>
      </w:r>
    </w:p>
    <w:p w:rsidR="005008AA" w:rsidRDefault="005008AA" w:rsidP="005008AA">
      <w:pPr>
        <w:pStyle w:val="NoSpacing"/>
        <w:ind w:firstLine="720"/>
        <w:jc w:val="both"/>
      </w:pPr>
      <w:r>
        <w:t>A general point about retrospectivity in all Article 2 cases is the Supreme Court view that it does not apply to deaths before 2 October 2000 when the Human Rights Act 1998 came into force. This Act wrote much of the ECHR into domestic law. The authority for non-retrospectivity, in the common law, is McKerr’s Application for Judicial Review, Re [2004] UKHL (decided on 11 March 2004). Despite this no governmental attempts to effect or enforce that position have been noted.</w:t>
      </w:r>
    </w:p>
    <w:p w:rsidR="00576D34" w:rsidRDefault="005D7714" w:rsidP="00CB3CB3">
      <w:pPr>
        <w:pStyle w:val="NoSpacing"/>
        <w:ind w:firstLine="720"/>
        <w:jc w:val="both"/>
      </w:pPr>
      <w:r>
        <w:t xml:space="preserve">The fourth </w:t>
      </w:r>
      <w:r w:rsidR="00C70383">
        <w:t>key case, a coronial court judg</w:t>
      </w:r>
      <w:r w:rsidR="00A91621">
        <w:t xml:space="preserve">ment, </w:t>
      </w:r>
      <w:r w:rsidR="00117ED6">
        <w:t>was</w:t>
      </w:r>
      <w:r w:rsidR="00A91621">
        <w:t xml:space="preserve"> that by Mrs Justice Keegan</w:t>
      </w:r>
      <w:r>
        <w:rPr>
          <w:rStyle w:val="FootnoteReference"/>
        </w:rPr>
        <w:footnoteReference w:id="8"/>
      </w:r>
      <w:r w:rsidR="00A91621">
        <w:t xml:space="preserve"> in her </w:t>
      </w:r>
      <w:r w:rsidR="00117ED6">
        <w:t xml:space="preserve">May 2021 </w:t>
      </w:r>
      <w:r w:rsidR="00A91621">
        <w:t xml:space="preserve">findings relating to the </w:t>
      </w:r>
      <w:r w:rsidR="00117ED6">
        <w:t xml:space="preserve">ten </w:t>
      </w:r>
      <w:r w:rsidR="00A91621">
        <w:t xml:space="preserve">Ballymurphy deaths after internment </w:t>
      </w:r>
      <w:r w:rsidR="00117ED6">
        <w:t>i</w:t>
      </w:r>
      <w:r w:rsidR="00A91621">
        <w:t xml:space="preserve">n </w:t>
      </w:r>
      <w:r w:rsidR="00AD4144">
        <w:t xml:space="preserve">August </w:t>
      </w:r>
      <w:r w:rsidR="00A91621">
        <w:t xml:space="preserve">1971. It </w:t>
      </w:r>
      <w:r>
        <w:t>will</w:t>
      </w:r>
      <w:r w:rsidR="00A91621">
        <w:t xml:space="preserve"> be the template for the future </w:t>
      </w:r>
      <w:r w:rsidR="00117ED6">
        <w:t>with</w:t>
      </w:r>
      <w:r w:rsidR="00A91621">
        <w:t xml:space="preserve"> inquest</w:t>
      </w:r>
      <w:r>
        <w:t>s</w:t>
      </w:r>
      <w:r w:rsidR="00A91621">
        <w:t xml:space="preserve"> bec</w:t>
      </w:r>
      <w:r w:rsidR="00117ED6">
        <w:t>oming</w:t>
      </w:r>
      <w:r w:rsidR="00A91621">
        <w:t xml:space="preserve"> effectively tribunal</w:t>
      </w:r>
      <w:r>
        <w:t>s</w:t>
      </w:r>
      <w:r w:rsidR="00A91621">
        <w:t xml:space="preserve"> of inquiry </w:t>
      </w:r>
      <w:r>
        <w:t>albeit</w:t>
      </w:r>
      <w:r w:rsidR="00117ED6">
        <w:t xml:space="preserve"> </w:t>
      </w:r>
      <w:r w:rsidR="00A91621">
        <w:t>exceed</w:t>
      </w:r>
      <w:r>
        <w:t>ing</w:t>
      </w:r>
      <w:r w:rsidR="00117ED6">
        <w:t xml:space="preserve"> the </w:t>
      </w:r>
      <w:r w:rsidR="00A91621">
        <w:t>limited powers and duties of a coroner</w:t>
      </w:r>
      <w:r w:rsidR="00117ED6">
        <w:t xml:space="preserve"> </w:t>
      </w:r>
      <w:r>
        <w:t xml:space="preserve">when </w:t>
      </w:r>
      <w:r w:rsidR="009B4F9B">
        <w:t xml:space="preserve">interpreting the </w:t>
      </w:r>
      <w:r w:rsidR="00117ED6">
        <w:t xml:space="preserve">four basic factual questions </w:t>
      </w:r>
      <w:r w:rsidR="00117ED6" w:rsidRPr="009B4F9B">
        <w:t>req</w:t>
      </w:r>
      <w:r>
        <w:t xml:space="preserve">uired  by  Rule  15  and  </w:t>
      </w:r>
      <w:r w:rsidR="00117ED6" w:rsidRPr="009B4F9B">
        <w:t>22</w:t>
      </w:r>
      <w:r w:rsidR="005E0D02">
        <w:t xml:space="preserve"> </w:t>
      </w:r>
      <w:r w:rsidR="00117ED6" w:rsidRPr="009B4F9B">
        <w:t>(1)  of  the  Coroners  (Practice  and  Procedure)  Rules</w:t>
      </w:r>
      <w:r w:rsidR="00117ED6">
        <w:t>. The fourth question - h</w:t>
      </w:r>
      <w:r w:rsidR="009B4F9B" w:rsidRPr="009B4F9B">
        <w:t>ow the deceased came about their deaths</w:t>
      </w:r>
      <w:r w:rsidR="00117ED6">
        <w:t xml:space="preserve"> is being used to broaden an inquest into an investigation on culpability</w:t>
      </w:r>
      <w:r w:rsidR="00A91621">
        <w:t>.</w:t>
      </w:r>
      <w:r w:rsidR="009B4F9B" w:rsidRPr="009B4F9B">
        <w:t xml:space="preserve"> </w:t>
      </w:r>
    </w:p>
    <w:p w:rsidR="00984F33" w:rsidRDefault="00AB7068" w:rsidP="005D7BB0">
      <w:pPr>
        <w:pStyle w:val="NoSpacing"/>
        <w:ind w:firstLine="720"/>
        <w:jc w:val="both"/>
      </w:pPr>
      <w:r>
        <w:lastRenderedPageBreak/>
        <w:t>A</w:t>
      </w:r>
      <w:r w:rsidR="00CB3CB3">
        <w:t xml:space="preserve"> civil war was averted</w:t>
      </w:r>
      <w:r w:rsidR="007972AA">
        <w:t xml:space="preserve"> in the 30 years</w:t>
      </w:r>
      <w:r w:rsidR="00E03CCF">
        <w:t xml:space="preserve"> from 1969</w:t>
      </w:r>
      <w:r w:rsidR="00CB3CB3">
        <w:t>. No credit is given for that</w:t>
      </w:r>
      <w:r w:rsidR="00A91621">
        <w:t>,</w:t>
      </w:r>
      <w:r w:rsidR="00943BEB">
        <w:t xml:space="preserve"> certainly not to the security forces and their 1,000 dead.</w:t>
      </w:r>
      <w:r w:rsidR="007972AA">
        <w:t xml:space="preserve"> Sadly</w:t>
      </w:r>
      <w:r w:rsidR="00A91621">
        <w:t>,</w:t>
      </w:r>
      <w:r w:rsidR="007972AA">
        <w:t xml:space="preserve"> but</w:t>
      </w:r>
      <w:r w:rsidR="00506E44">
        <w:t xml:space="preserve"> inevitably</w:t>
      </w:r>
      <w:r w:rsidR="00A91621">
        <w:t>,</w:t>
      </w:r>
      <w:r w:rsidR="00506E44">
        <w:t xml:space="preserve"> young people for the most part</w:t>
      </w:r>
      <w:r w:rsidR="00A91621">
        <w:t xml:space="preserve"> have no empathy for those</w:t>
      </w:r>
      <w:r w:rsidR="00506E44">
        <w:t xml:space="preserve"> famil</w:t>
      </w:r>
      <w:r w:rsidR="00A91621">
        <w:t xml:space="preserve">ies. Solidarity when shown is largely </w:t>
      </w:r>
      <w:r w:rsidR="00506E44">
        <w:t xml:space="preserve">within </w:t>
      </w:r>
      <w:r w:rsidR="00A91621">
        <w:t xml:space="preserve">the </w:t>
      </w:r>
      <w:r w:rsidR="00506E44">
        <w:t>Republican communit</w:t>
      </w:r>
      <w:r w:rsidR="00A91621">
        <w:t>y</w:t>
      </w:r>
      <w:r w:rsidR="00506E44">
        <w:t xml:space="preserve"> who </w:t>
      </w:r>
      <w:r w:rsidR="005D7714">
        <w:t>use</w:t>
      </w:r>
      <w:r w:rsidR="00A91621">
        <w:t xml:space="preserve"> law to achieve the ends once reserved to war</w:t>
      </w:r>
      <w:r w:rsidR="00506E44">
        <w:t>.</w:t>
      </w:r>
    </w:p>
    <w:p w:rsidR="00117ED6" w:rsidRDefault="005D7714" w:rsidP="005D7BB0">
      <w:pPr>
        <w:pStyle w:val="NoSpacing"/>
        <w:ind w:firstLine="720"/>
        <w:jc w:val="both"/>
      </w:pPr>
      <w:r>
        <w:t xml:space="preserve">The </w:t>
      </w:r>
      <w:r w:rsidR="007219CE">
        <w:t xml:space="preserve">government proposal of an amnesty or </w:t>
      </w:r>
      <w:r w:rsidR="00695B8D">
        <w:t xml:space="preserve">a </w:t>
      </w:r>
      <w:r w:rsidR="007219CE">
        <w:t>statute of limitations on police investigations may appease the veterans in the short term</w:t>
      </w:r>
      <w:r w:rsidR="00117ED6">
        <w:t xml:space="preserve"> </w:t>
      </w:r>
      <w:r w:rsidR="007219CE">
        <w:t>at the expense of a great deal of outrage from all sides. Howeve</w:t>
      </w:r>
      <w:r w:rsidR="00695B8D">
        <w:t xml:space="preserve">r without a serious attempt to </w:t>
      </w:r>
      <w:r w:rsidR="007219CE">
        <w:t>limit lawfare</w:t>
      </w:r>
      <w:r w:rsidR="00695B8D">
        <w:t>,</w:t>
      </w:r>
      <w:r w:rsidR="007219CE">
        <w:t xml:space="preserve"> </w:t>
      </w:r>
      <w:r w:rsidR="00695B8D">
        <w:t xml:space="preserve">not least in relation to reopened inquests, </w:t>
      </w:r>
      <w:r w:rsidR="007219CE">
        <w:t>the basic problems will remain.</w:t>
      </w:r>
      <w:r w:rsidR="00695B8D">
        <w:t xml:space="preserve"> </w:t>
      </w:r>
    </w:p>
    <w:p w:rsidR="005D7BB0" w:rsidRDefault="005D7BB0" w:rsidP="005D7BB0">
      <w:pPr>
        <w:pStyle w:val="NoSpacing"/>
        <w:ind w:firstLine="720"/>
        <w:jc w:val="both"/>
      </w:pPr>
      <w:r>
        <w:t>Without closing down new inquests, civil suits, private prosecutions, free legal aid</w:t>
      </w:r>
      <w:r w:rsidR="006A0E71">
        <w:t xml:space="preserve"> for legacy</w:t>
      </w:r>
      <w:r w:rsidR="005008AA">
        <w:t xml:space="preserve"> cases in </w:t>
      </w:r>
      <w:r>
        <w:t>judicial reviews etc, such a</w:t>
      </w:r>
      <w:r w:rsidR="00117ED6">
        <w:t xml:space="preserve"> </w:t>
      </w:r>
      <w:r w:rsidR="00166A20">
        <w:t>no-</w:t>
      </w:r>
      <w:r w:rsidR="00117ED6">
        <w:t>prosecutions</w:t>
      </w:r>
      <w:r>
        <w:t xml:space="preserve"> policy will do little or nothing to reduce the hurt </w:t>
      </w:r>
      <w:r w:rsidR="005008AA">
        <w:t xml:space="preserve">over unfairness </w:t>
      </w:r>
      <w:r>
        <w:t>or the enormous cost. It could be done but the NIO would have to steel itself.</w:t>
      </w:r>
    </w:p>
    <w:p w:rsidR="005008AA" w:rsidRDefault="00695B8D" w:rsidP="00E03CCF">
      <w:pPr>
        <w:spacing w:after="0" w:line="240" w:lineRule="auto"/>
        <w:ind w:firstLine="720"/>
        <w:jc w:val="both"/>
      </w:pPr>
      <w:r>
        <w:t xml:space="preserve">The proposed </w:t>
      </w:r>
      <w:r w:rsidR="00117ED6">
        <w:t xml:space="preserve">alternative </w:t>
      </w:r>
      <w:r>
        <w:t>‘truth recovery’ bodies m</w:t>
      </w:r>
      <w:r w:rsidR="00E03CCF">
        <w:t>ay</w:t>
      </w:r>
      <w:r>
        <w:t xml:space="preserve"> subsume </w:t>
      </w:r>
      <w:r w:rsidR="00166A20">
        <w:t xml:space="preserve">the </w:t>
      </w:r>
      <w:r>
        <w:t xml:space="preserve">HIU but have the potential to be as toxic as continued criminal investigations </w:t>
      </w:r>
      <w:r w:rsidR="00E03CCF">
        <w:t>if there are no</w:t>
      </w:r>
      <w:r>
        <w:t xml:space="preserve"> cost caps </w:t>
      </w:r>
      <w:r w:rsidR="00E03CCF">
        <w:t>or</w:t>
      </w:r>
      <w:r>
        <w:t xml:space="preserve"> time limits. The notion of reconciliation is a dead letter even if regularly touted by the NIO.</w:t>
      </w:r>
      <w:r w:rsidR="00E03CCF">
        <w:t xml:space="preserve"> </w:t>
      </w:r>
      <w:r>
        <w:t xml:space="preserve">What is possible is a narrowing process. </w:t>
      </w:r>
      <w:r w:rsidR="00117ED6">
        <w:t>It appears</w:t>
      </w:r>
      <w:r>
        <w:t xml:space="preserve"> under way</w:t>
      </w:r>
      <w:r w:rsidR="00E03CCF">
        <w:t xml:space="preserve"> and has to be supported</w:t>
      </w:r>
      <w:r w:rsidR="00117ED6">
        <w:t xml:space="preserve"> so far as it goes</w:t>
      </w:r>
      <w:r w:rsidR="00E03CCF">
        <w:t>.</w:t>
      </w:r>
      <w:r w:rsidR="005008AA" w:rsidRPr="005008AA">
        <w:t xml:space="preserve"> </w:t>
      </w:r>
    </w:p>
    <w:p w:rsidR="00E03CCF" w:rsidRDefault="005008AA" w:rsidP="00E03CCF">
      <w:pPr>
        <w:spacing w:after="0" w:line="240" w:lineRule="auto"/>
        <w:ind w:firstLine="720"/>
        <w:jc w:val="both"/>
      </w:pPr>
      <w:r w:rsidRPr="005008AA">
        <w:t xml:space="preserve">From August, now that Italy is no longer holding out on ratification, </w:t>
      </w:r>
      <w:r>
        <w:t>the</w:t>
      </w:r>
      <w:r w:rsidRPr="005008AA">
        <w:t xml:space="preserve"> new</w:t>
      </w:r>
      <w:r>
        <w:t xml:space="preserve"> </w:t>
      </w:r>
      <w:r w:rsidRPr="005008AA">
        <w:t xml:space="preserve">Protocol 15 </w:t>
      </w:r>
      <w:r>
        <w:t xml:space="preserve">(engineered by Ken Clarke when Lord Chancellor) </w:t>
      </w:r>
      <w:r w:rsidRPr="005008AA">
        <w:t xml:space="preserve">will be attached to the </w:t>
      </w:r>
      <w:r>
        <w:t xml:space="preserve">ECHR. It encourages </w:t>
      </w:r>
      <w:r w:rsidRPr="005008AA">
        <w:t>subsidiarity and gives states a heightened margin of appreciation. Th</w:t>
      </w:r>
      <w:r>
        <w:t>is surely can be called in</w:t>
      </w:r>
      <w:r w:rsidRPr="005008AA">
        <w:t xml:space="preserve"> aid</w:t>
      </w:r>
      <w:r>
        <w:t xml:space="preserve"> in future Strasbourg cases</w:t>
      </w:r>
      <w:r w:rsidRPr="005008AA">
        <w:t xml:space="preserve"> </w:t>
      </w:r>
      <w:r>
        <w:t>at least</w:t>
      </w:r>
      <w:r w:rsidRPr="005008AA">
        <w:t>.</w:t>
      </w:r>
    </w:p>
    <w:p w:rsidR="006A0E71" w:rsidRDefault="007219CE" w:rsidP="00E03CCF">
      <w:pPr>
        <w:spacing w:after="0" w:line="240" w:lineRule="auto"/>
        <w:ind w:firstLine="720"/>
        <w:jc w:val="both"/>
      </w:pPr>
      <w:r>
        <w:t>W</w:t>
      </w:r>
      <w:r w:rsidR="00984F33">
        <w:t>ithout a grand settlement which is unlikely given the political nature of the process</w:t>
      </w:r>
      <w:r w:rsidR="006A0E71">
        <w:t>,</w:t>
      </w:r>
      <w:r w:rsidR="00117ED6">
        <w:t xml:space="preserve"> legacy will grind on</w:t>
      </w:r>
      <w:r w:rsidR="00984F33">
        <w:t xml:space="preserve">. </w:t>
      </w:r>
      <w:r>
        <w:t>Nationalist</w:t>
      </w:r>
      <w:r w:rsidR="00984F33">
        <w:t xml:space="preserve"> lawfare cannot lose as the </w:t>
      </w:r>
      <w:r w:rsidR="00117ED6">
        <w:t xml:space="preserve">legal </w:t>
      </w:r>
      <w:r w:rsidR="00984F33">
        <w:t xml:space="preserve">variants </w:t>
      </w:r>
      <w:r w:rsidR="005008AA">
        <w:t xml:space="preserve">still </w:t>
      </w:r>
      <w:r w:rsidR="00AD4144">
        <w:t>remain</w:t>
      </w:r>
      <w:r w:rsidR="00984F33">
        <w:t xml:space="preserve"> limitless. Non-nationalist lawfare</w:t>
      </w:r>
      <w:r w:rsidR="00117ED6">
        <w:t>,</w:t>
      </w:r>
      <w:r w:rsidR="00984F33">
        <w:t xml:space="preserve"> in so far as it exists</w:t>
      </w:r>
      <w:r w:rsidR="00117ED6">
        <w:t>,</w:t>
      </w:r>
      <w:r w:rsidR="00984F33">
        <w:t xml:space="preserve"> can call into question conventional legal wisdom on</w:t>
      </w:r>
      <w:r w:rsidR="00E03CCF">
        <w:t xml:space="preserve"> Article 2</w:t>
      </w:r>
      <w:r w:rsidR="00117ED6">
        <w:t xml:space="preserve"> but London has to listen to its friends</w:t>
      </w:r>
      <w:r w:rsidR="00166A20">
        <w:t xml:space="preserve"> and take the risk of new legal challenges</w:t>
      </w:r>
      <w:r w:rsidR="005008AA">
        <w:t xml:space="preserve"> at Strasbourg</w:t>
      </w:r>
      <w:r w:rsidR="00984F33">
        <w:t xml:space="preserve">. The new </w:t>
      </w:r>
      <w:proofErr w:type="gramStart"/>
      <w:r w:rsidR="00AD4144">
        <w:t>player, the veterans, ha</w:t>
      </w:r>
      <w:r w:rsidR="005008AA">
        <w:t>ve</w:t>
      </w:r>
      <w:proofErr w:type="gramEnd"/>
      <w:r w:rsidR="00984F33">
        <w:t xml:space="preserve"> </w:t>
      </w:r>
      <w:r w:rsidR="006A0E71">
        <w:t>for the</w:t>
      </w:r>
      <w:r w:rsidR="00AD4144">
        <w:t xml:space="preserve"> first time</w:t>
      </w:r>
      <w:r w:rsidR="006A0E71">
        <w:t xml:space="preserve"> </w:t>
      </w:r>
      <w:r w:rsidR="00AD4144">
        <w:t>created a</w:t>
      </w:r>
      <w:r w:rsidR="006A0E71">
        <w:t xml:space="preserve"> </w:t>
      </w:r>
      <w:r w:rsidR="00984F33">
        <w:t xml:space="preserve">balancing </w:t>
      </w:r>
      <w:r w:rsidR="00AD4144">
        <w:t xml:space="preserve">role to </w:t>
      </w:r>
      <w:r w:rsidR="00984F33">
        <w:t xml:space="preserve">the </w:t>
      </w:r>
      <w:r w:rsidR="00E03CCF">
        <w:t xml:space="preserve">human rights </w:t>
      </w:r>
      <w:r w:rsidR="00117ED6">
        <w:t>industry</w:t>
      </w:r>
      <w:r w:rsidR="005008AA">
        <w:t xml:space="preserve"> and they are not going away</w:t>
      </w:r>
      <w:r w:rsidR="00984F33">
        <w:t>.</w:t>
      </w:r>
      <w:r w:rsidRPr="007219CE">
        <w:t xml:space="preserve"> </w:t>
      </w:r>
    </w:p>
    <w:p w:rsidR="007219CE" w:rsidRDefault="007219CE" w:rsidP="00E03CCF">
      <w:pPr>
        <w:spacing w:after="0" w:line="240" w:lineRule="auto"/>
        <w:ind w:firstLine="720"/>
        <w:jc w:val="both"/>
      </w:pPr>
      <w:r>
        <w:t xml:space="preserve">Agreement to differ </w:t>
      </w:r>
      <w:r w:rsidR="005008AA">
        <w:t xml:space="preserve">however, putting the past behind us, </w:t>
      </w:r>
      <w:r>
        <w:t xml:space="preserve">is a better policy than </w:t>
      </w:r>
      <w:r w:rsidR="00AD4144">
        <w:t xml:space="preserve">well-funded </w:t>
      </w:r>
      <w:r w:rsidR="005008AA">
        <w:t>archival archaeological work with</w:t>
      </w:r>
      <w:r w:rsidR="006A0E71">
        <w:t xml:space="preserve"> industrial levels of lawfare</w:t>
      </w:r>
      <w:r w:rsidR="00E03CCF">
        <w:t>.</w:t>
      </w:r>
    </w:p>
    <w:p w:rsidR="00984F33" w:rsidRDefault="00984F33" w:rsidP="00984F33">
      <w:pPr>
        <w:pStyle w:val="NoSpacing"/>
        <w:ind w:firstLine="720"/>
        <w:jc w:val="both"/>
      </w:pPr>
    </w:p>
    <w:p w:rsidR="00A55ADD" w:rsidRDefault="00A55ADD" w:rsidP="00F53794">
      <w:pPr>
        <w:pStyle w:val="NoSpacing"/>
        <w:rPr>
          <w:rStyle w:val="normaltextrun"/>
        </w:rPr>
      </w:pPr>
    </w:p>
    <w:p w:rsidR="00A55ADD" w:rsidRDefault="00A55ADD" w:rsidP="00F53794">
      <w:pPr>
        <w:pStyle w:val="NoSpacing"/>
        <w:rPr>
          <w:rStyle w:val="normaltextrun"/>
        </w:rPr>
      </w:pPr>
    </w:p>
    <w:p w:rsidR="00D54EF5" w:rsidRPr="006A0E71" w:rsidRDefault="00A55ADD" w:rsidP="00D54EF5">
      <w:pPr>
        <w:pStyle w:val="NoSpacing"/>
        <w:jc w:val="both"/>
        <w:rPr>
          <w:i/>
        </w:rPr>
      </w:pPr>
      <w:r w:rsidRPr="006A0E71">
        <w:rPr>
          <w:i/>
        </w:rPr>
        <w:t xml:space="preserve">Jeffrey Dudgeon is convenor of </w:t>
      </w:r>
      <w:r w:rsidR="00CC534A" w:rsidRPr="006A0E71">
        <w:rPr>
          <w:i/>
        </w:rPr>
        <w:t xml:space="preserve">the </w:t>
      </w:r>
      <w:r w:rsidRPr="006A0E71">
        <w:rPr>
          <w:i/>
        </w:rPr>
        <w:t xml:space="preserve">Malone House Group a Belfast-based, non-governmental organisation (NGO) composed of lawyers, academics and historians dealing with Legacy issues arising from the Northern Ireland conflict. Its object is to find the best means to address the Past while preventing a re-occurrence of violence between the two </w:t>
      </w:r>
      <w:r w:rsidR="006834A8" w:rsidRPr="006A0E71">
        <w:rPr>
          <w:i/>
        </w:rPr>
        <w:t xml:space="preserve">Northern Ireland </w:t>
      </w:r>
      <w:r w:rsidRPr="006A0E71">
        <w:rPr>
          <w:i/>
        </w:rPr>
        <w:t>communities.</w:t>
      </w:r>
      <w:r w:rsidR="00D54EF5" w:rsidRPr="006A0E71">
        <w:rPr>
          <w:i/>
        </w:rPr>
        <w:t xml:space="preserve"> The book of our March 2018 conference</w:t>
      </w:r>
      <w:r w:rsidR="00C70383">
        <w:rPr>
          <w:i/>
        </w:rPr>
        <w:t>, ‘</w:t>
      </w:r>
      <w:r w:rsidR="00D54EF5" w:rsidRPr="006A0E71">
        <w:rPr>
          <w:i/>
        </w:rPr>
        <w:t>Legacy: What to do about the Past in Northern Ireland?</w:t>
      </w:r>
      <w:r w:rsidR="00C70383">
        <w:rPr>
          <w:i/>
        </w:rPr>
        <w:t>’</w:t>
      </w:r>
      <w:r w:rsidR="00D54EF5" w:rsidRPr="006A0E71">
        <w:rPr>
          <w:i/>
        </w:rPr>
        <w:t xml:space="preserve"> (Belfast Press) is available on Amazon.</w:t>
      </w:r>
    </w:p>
    <w:p w:rsidR="00A55ADD" w:rsidRDefault="00A55ADD" w:rsidP="00A55ADD">
      <w:pPr>
        <w:pStyle w:val="NoSpacing"/>
        <w:jc w:val="both"/>
      </w:pPr>
    </w:p>
    <w:p w:rsidR="00A55ADD" w:rsidRDefault="00A55ADD" w:rsidP="00F53794">
      <w:pPr>
        <w:pStyle w:val="NoSpacing"/>
        <w:rPr>
          <w:rStyle w:val="normaltextrun"/>
        </w:rPr>
      </w:pPr>
    </w:p>
    <w:p w:rsidR="00E03CCF" w:rsidRPr="00E03CCF" w:rsidRDefault="00E03CCF" w:rsidP="00E03CCF">
      <w:pPr>
        <w:pStyle w:val="NoSpacing"/>
        <w:jc w:val="center"/>
        <w:rPr>
          <w:rStyle w:val="normaltextrun"/>
          <w:b/>
        </w:rPr>
      </w:pPr>
      <w:r w:rsidRPr="00E03CCF">
        <w:rPr>
          <w:rStyle w:val="normaltextrun"/>
          <w:b/>
        </w:rPr>
        <w:t xml:space="preserve">MALONE HOUSE GROUP PRINCIPLES AND </w:t>
      </w:r>
      <w:r w:rsidR="00C70383">
        <w:rPr>
          <w:rStyle w:val="normaltextrun"/>
          <w:b/>
        </w:rPr>
        <w:t xml:space="preserve">AN </w:t>
      </w:r>
      <w:r w:rsidR="00117ED6" w:rsidRPr="00E03CCF">
        <w:rPr>
          <w:rStyle w:val="normaltextrun"/>
          <w:b/>
        </w:rPr>
        <w:t xml:space="preserve">ECHR </w:t>
      </w:r>
      <w:r w:rsidRPr="00E03CCF">
        <w:rPr>
          <w:rStyle w:val="normaltextrun"/>
          <w:b/>
        </w:rPr>
        <w:t xml:space="preserve">LEGAL BRIEF </w:t>
      </w:r>
    </w:p>
    <w:p w:rsidR="00E03CCF" w:rsidRDefault="00E03CCF" w:rsidP="00F53794">
      <w:pPr>
        <w:pStyle w:val="NoSpacing"/>
        <w:rPr>
          <w:rStyle w:val="normaltextrun"/>
        </w:rPr>
      </w:pPr>
    </w:p>
    <w:p w:rsidR="00F53794" w:rsidRDefault="00F53794" w:rsidP="00F53794">
      <w:pPr>
        <w:pStyle w:val="NoSpacing"/>
        <w:rPr>
          <w:rStyle w:val="normaltextrun"/>
        </w:rPr>
      </w:pPr>
      <w:r>
        <w:rPr>
          <w:rStyle w:val="normaltextrun"/>
        </w:rPr>
        <w:t>The Malone House Group Principles are:</w:t>
      </w:r>
    </w:p>
    <w:p w:rsidR="00F53794" w:rsidRDefault="00F53794" w:rsidP="00F53794">
      <w:pPr>
        <w:pStyle w:val="NoSpacing"/>
        <w:numPr>
          <w:ilvl w:val="0"/>
          <w:numId w:val="1"/>
        </w:numPr>
        <w:ind w:left="1080" w:firstLine="0"/>
        <w:jc w:val="both"/>
        <w:textAlignment w:val="baseline"/>
        <w:rPr>
          <w:rStyle w:val="eop"/>
        </w:rPr>
      </w:pPr>
      <w:r>
        <w:rPr>
          <w:rStyle w:val="normaltextrun"/>
        </w:rPr>
        <w:t>Adherence to the rule of law;</w:t>
      </w:r>
      <w:r>
        <w:rPr>
          <w:rStyle w:val="eop"/>
        </w:rPr>
        <w:t> </w:t>
      </w:r>
    </w:p>
    <w:p w:rsidR="00F53794" w:rsidRDefault="00F53794" w:rsidP="00F53794">
      <w:pPr>
        <w:pStyle w:val="NoSpacing"/>
        <w:numPr>
          <w:ilvl w:val="0"/>
          <w:numId w:val="1"/>
        </w:numPr>
        <w:ind w:left="1080" w:firstLine="0"/>
        <w:jc w:val="both"/>
        <w:textAlignment w:val="baseline"/>
        <w:rPr>
          <w:rStyle w:val="eop"/>
        </w:rPr>
      </w:pPr>
      <w:r>
        <w:rPr>
          <w:rStyle w:val="normaltextrun"/>
        </w:rPr>
        <w:t>No diminution of the principle of innocence until guilt is proven beyond reasonable doubt;</w:t>
      </w:r>
      <w:r>
        <w:rPr>
          <w:rStyle w:val="eop"/>
        </w:rPr>
        <w:t> </w:t>
      </w:r>
    </w:p>
    <w:p w:rsidR="00F53794" w:rsidRDefault="00F53794" w:rsidP="00F53794">
      <w:pPr>
        <w:pStyle w:val="paragraph"/>
        <w:numPr>
          <w:ilvl w:val="0"/>
          <w:numId w:val="1"/>
        </w:numPr>
        <w:ind w:left="1080" w:firstLine="0"/>
        <w:jc w:val="both"/>
        <w:textAlignment w:val="baseline"/>
      </w:pPr>
      <w:r>
        <w:rPr>
          <w:rStyle w:val="normaltextrun"/>
        </w:rPr>
        <w:t>Any process must adhere to fair trial principles and procedures in accordance with Article 6 of ECHR</w:t>
      </w:r>
      <w:r w:rsidR="00E03CCF">
        <w:rPr>
          <w:rStyle w:val="normaltextrun"/>
        </w:rPr>
        <w:t xml:space="preserve"> (see below)</w:t>
      </w:r>
      <w:r>
        <w:rPr>
          <w:rStyle w:val="normaltextrun"/>
        </w:rPr>
        <w:t>;</w:t>
      </w:r>
      <w:r>
        <w:rPr>
          <w:rStyle w:val="eop"/>
        </w:rPr>
        <w:t> </w:t>
      </w:r>
    </w:p>
    <w:p w:rsidR="00F53794" w:rsidRDefault="00F53794" w:rsidP="00F53794">
      <w:pPr>
        <w:pStyle w:val="paragraph"/>
        <w:numPr>
          <w:ilvl w:val="0"/>
          <w:numId w:val="1"/>
        </w:numPr>
        <w:ind w:left="1080" w:firstLine="0"/>
        <w:jc w:val="both"/>
        <w:textAlignment w:val="baseline"/>
      </w:pPr>
      <w:r>
        <w:rPr>
          <w:rStyle w:val="normaltextrun"/>
        </w:rPr>
        <w:lastRenderedPageBreak/>
        <w:t>Any process must adhere to protection of reputation and privacy in accordance with Article 8 of ECHR</w:t>
      </w:r>
      <w:r w:rsidR="00E03CCF">
        <w:rPr>
          <w:rStyle w:val="normaltextrun"/>
        </w:rPr>
        <w:t xml:space="preserve"> (see below)</w:t>
      </w:r>
      <w:r>
        <w:rPr>
          <w:rStyle w:val="normaltextrun"/>
        </w:rPr>
        <w:t>;</w:t>
      </w:r>
      <w:r>
        <w:rPr>
          <w:rStyle w:val="eop"/>
        </w:rPr>
        <w:t> </w:t>
      </w:r>
    </w:p>
    <w:p w:rsidR="00F53794" w:rsidRDefault="00F53794" w:rsidP="00F53794">
      <w:pPr>
        <w:pStyle w:val="paragraph"/>
        <w:numPr>
          <w:ilvl w:val="0"/>
          <w:numId w:val="1"/>
        </w:numPr>
        <w:ind w:left="1080" w:firstLine="0"/>
        <w:jc w:val="both"/>
        <w:textAlignment w:val="baseline"/>
      </w:pPr>
      <w:r>
        <w:rPr>
          <w:rStyle w:val="normaltextrun"/>
        </w:rPr>
        <w:t>Where police powers are conferred, these are to be exercised only for the purpose of criminal investigations and thereafter reporting to the Public Prosecution Service;</w:t>
      </w:r>
      <w:r>
        <w:rPr>
          <w:rStyle w:val="eop"/>
        </w:rPr>
        <w:t> </w:t>
      </w:r>
    </w:p>
    <w:p w:rsidR="00B17B63" w:rsidRDefault="00F53794" w:rsidP="00A55ADD">
      <w:pPr>
        <w:pStyle w:val="paragraph"/>
        <w:numPr>
          <w:ilvl w:val="0"/>
          <w:numId w:val="1"/>
        </w:numPr>
        <w:ind w:left="1080" w:firstLine="0"/>
        <w:jc w:val="both"/>
        <w:textAlignment w:val="baseline"/>
      </w:pPr>
      <w:r>
        <w:rPr>
          <w:rStyle w:val="normaltextrun"/>
        </w:rPr>
        <w:t>In particular, police (or others exercising police powers) have no role to adjudicate and issue public reports critical of any individual, as that is the function of a court or duly constituted tribunal.</w:t>
      </w:r>
      <w:r>
        <w:rPr>
          <w:rStyle w:val="eop"/>
        </w:rPr>
        <w:t> </w:t>
      </w:r>
    </w:p>
    <w:p w:rsidR="001F29F3" w:rsidRDefault="00F53794" w:rsidP="00E03CCF">
      <w:pPr>
        <w:pStyle w:val="NoSpacing"/>
        <w:ind w:firstLine="720"/>
        <w:jc w:val="both"/>
      </w:pPr>
      <w:r>
        <w:rPr>
          <w:rStyle w:val="normaltextrun"/>
        </w:rPr>
        <w:t xml:space="preserve">These principles may be largely negative in stating what must not be included in </w:t>
      </w:r>
      <w:r w:rsidR="00E03CCF">
        <w:rPr>
          <w:rStyle w:val="normaltextrun"/>
        </w:rPr>
        <w:t xml:space="preserve">future </w:t>
      </w:r>
      <w:r>
        <w:rPr>
          <w:rStyle w:val="normaltextrun"/>
        </w:rPr>
        <w:t xml:space="preserve">legacy </w:t>
      </w:r>
      <w:r w:rsidR="005008AA">
        <w:rPr>
          <w:rStyle w:val="normaltextrun"/>
        </w:rPr>
        <w:t>arrangements</w:t>
      </w:r>
      <w:r>
        <w:rPr>
          <w:rStyle w:val="normaltextrun"/>
        </w:rPr>
        <w:t xml:space="preserve"> but leave the way open to discuss other realistic options that </w:t>
      </w:r>
      <w:r w:rsidR="00B17B63">
        <w:rPr>
          <w:rStyle w:val="normaltextrun"/>
        </w:rPr>
        <w:t>should</w:t>
      </w:r>
      <w:r>
        <w:rPr>
          <w:rStyle w:val="normaltextrun"/>
        </w:rPr>
        <w:t xml:space="preserve"> not poison our law and politics for decades to come.</w:t>
      </w:r>
      <w:r>
        <w:t xml:space="preserve"> </w:t>
      </w:r>
    </w:p>
    <w:p w:rsidR="00E03CCF" w:rsidRDefault="00E03CCF" w:rsidP="00E03CCF">
      <w:pPr>
        <w:pStyle w:val="NoSpacing"/>
        <w:ind w:firstLine="720"/>
        <w:jc w:val="both"/>
      </w:pPr>
      <w:proofErr w:type="gramStart"/>
      <w:r>
        <w:t>M</w:t>
      </w:r>
      <w:r w:rsidRPr="001911D0">
        <w:t>is</w:t>
      </w:r>
      <w:r>
        <w:t>understandings over</w:t>
      </w:r>
      <w:r w:rsidRPr="001911D0">
        <w:t xml:space="preserve"> Article 2</w:t>
      </w:r>
      <w:r>
        <w:t xml:space="preserve"> has</w:t>
      </w:r>
      <w:proofErr w:type="gramEnd"/>
      <w:r>
        <w:t xml:space="preserve"> been considered on many occasions by the ECtHR where there is an allegation of the involvement of any officer or agent of the state in an individual’s death. The Court has simply established that there must be</w:t>
      </w:r>
      <w:r w:rsidRPr="001911D0">
        <w:t xml:space="preserve"> an effective independent official investigation capable of leading to the identification and punishment of </w:t>
      </w:r>
      <w:proofErr w:type="gramStart"/>
      <w:r w:rsidRPr="001911D0">
        <w:t>those responsible and including effective access</w:t>
      </w:r>
      <w:proofErr w:type="gramEnd"/>
      <w:r w:rsidRPr="001911D0">
        <w:t xml:space="preserve"> for the relatives to</w:t>
      </w:r>
      <w:r>
        <w:t xml:space="preserve"> the investigatory procedure</w:t>
      </w:r>
      <w:r w:rsidRPr="001911D0">
        <w:t xml:space="preserve"> [</w:t>
      </w:r>
      <w:r w:rsidRPr="00BB2D2A">
        <w:t>Kaya v Turkey 1998]</w:t>
      </w:r>
      <w:r>
        <w:t>.</w:t>
      </w:r>
    </w:p>
    <w:p w:rsidR="00E03CCF" w:rsidRPr="001911D0" w:rsidRDefault="00E03CCF" w:rsidP="00E03CCF">
      <w:pPr>
        <w:pStyle w:val="NoSpacing"/>
        <w:ind w:firstLine="720"/>
        <w:jc w:val="both"/>
      </w:pPr>
      <w:r w:rsidRPr="001911D0">
        <w:t xml:space="preserve">But there appears to be a prevalent view that this imports no limitation is to be imposed on the ambit of and resources to be made available for such investigations. </w:t>
      </w:r>
      <w:r>
        <w:t>T</w:t>
      </w:r>
      <w:r w:rsidRPr="001911D0">
        <w:t>here is no reason</w:t>
      </w:r>
      <w:r>
        <w:t xml:space="preserve"> why a properly independent</w:t>
      </w:r>
      <w:r w:rsidRPr="001911D0">
        <w:t xml:space="preserve"> review process as outlined in the </w:t>
      </w:r>
      <w:r>
        <w:t xml:space="preserve">NIO’s </w:t>
      </w:r>
      <w:r w:rsidRPr="001911D0">
        <w:t>March 2020 Statement necessarily involves any departure from the requirements of Article 2.</w:t>
      </w:r>
      <w:r>
        <w:t xml:space="preserve"> Any</w:t>
      </w:r>
      <w:r w:rsidRPr="001911D0">
        <w:t xml:space="preserve"> assumption that such investigations must be given untrammelled powers and unlimited resources by way of SHA or amended SHA style proposals</w:t>
      </w:r>
      <w:r>
        <w:t xml:space="preserve"> has to be resisted but is never allowed to be said in the broadcasting media</w:t>
      </w:r>
      <w:r w:rsidRPr="001911D0">
        <w:t>.</w:t>
      </w:r>
    </w:p>
    <w:p w:rsidR="00E03CCF" w:rsidRPr="001911D0" w:rsidRDefault="00E03CCF" w:rsidP="00E03CCF">
      <w:pPr>
        <w:pStyle w:val="NoSpacing"/>
        <w:ind w:firstLine="720"/>
        <w:jc w:val="both"/>
      </w:pPr>
      <w:r w:rsidRPr="001911D0">
        <w:t>To the contrary, an independent investigation can properly, in discharge of its Article 2 function, carry out the sort of initial review (as envisaged in the</w:t>
      </w:r>
      <w:r>
        <w:t xml:space="preserve"> </w:t>
      </w:r>
      <w:r w:rsidRPr="001911D0">
        <w:t xml:space="preserve">Statement) and only carry out a more intensive investigation where there is anything of genuine substance </w:t>
      </w:r>
      <w:r>
        <w:t xml:space="preserve">in terms of credible new evidence </w:t>
      </w:r>
      <w:r w:rsidRPr="001911D0">
        <w:t>to investigate</w:t>
      </w:r>
      <w:r>
        <w:t xml:space="preserve"> as opposed to assertions of ‘collusion’</w:t>
      </w:r>
      <w:r w:rsidRPr="001911D0">
        <w:t>.</w:t>
      </w:r>
    </w:p>
    <w:p w:rsidR="00E03CCF" w:rsidRPr="006E7B71" w:rsidRDefault="00E03CCF" w:rsidP="00E03CCF">
      <w:pPr>
        <w:pStyle w:val="NoSpacing"/>
        <w:ind w:firstLine="720"/>
        <w:jc w:val="both"/>
      </w:pPr>
      <w:r w:rsidRPr="006E7B71">
        <w:t>Article 6 requires that ‘fair trial’ procedures must be followed. This includes the right to silence and the privilege against self-incrimination. Thus, anyone who is subject to investigation and questioning in an ‘Article 2’ enquiry is entitled to such right to silence and privilege against self-incrimination as these are generally recognised international standards which lie at the heart of the notion of a fair procedure under Article 6. Thus, the right of the ‘suspect’ to silence under Article 6 is not overridden by the state’s investigative duty under Article 2.</w:t>
      </w:r>
    </w:p>
    <w:p w:rsidR="00E03CCF" w:rsidRPr="006E7B71" w:rsidRDefault="00E03CCF" w:rsidP="00E03CCF">
      <w:pPr>
        <w:pStyle w:val="NoSpacing"/>
        <w:ind w:firstLine="720"/>
        <w:jc w:val="both"/>
      </w:pPr>
      <w:r w:rsidRPr="006E7B71">
        <w:t xml:space="preserve">Article 8 protects every individual’s right to privacy and reputation. This means that it is not open to any investigation under Article 2 to report in critical terms on the actions on individuals (such as police officers) without adequate safeguards for the person subject to such criticism. </w:t>
      </w:r>
    </w:p>
    <w:p w:rsidR="00E03CCF" w:rsidRPr="006E7B71" w:rsidRDefault="00E03CCF" w:rsidP="00E03CCF">
      <w:pPr>
        <w:pStyle w:val="NoSpacing"/>
        <w:ind w:firstLine="720"/>
        <w:jc w:val="both"/>
      </w:pPr>
      <w:r w:rsidRPr="006E7B71">
        <w:t>The Court has held that where publication compromises the integrity of the reputation of the person concerned there is a breach of Article 8 of the Convention. In the case of </w:t>
      </w:r>
      <w:r w:rsidRPr="006E7B71">
        <w:rPr>
          <w:u w:val="single"/>
        </w:rPr>
        <w:t>Pfeifer v Austria</w:t>
      </w:r>
      <w:r w:rsidRPr="006E7B71">
        <w:t xml:space="preserve"> (15 November 2007) it declared that “a person’s right to protection of his or her reputation is encompassed by Article 8 as being part of the right to respect for private life.” </w:t>
      </w:r>
    </w:p>
    <w:p w:rsidR="004C1A4B" w:rsidRDefault="00E03CCF" w:rsidP="00166A20">
      <w:pPr>
        <w:pStyle w:val="NoSpacing"/>
        <w:ind w:firstLine="720"/>
        <w:jc w:val="both"/>
      </w:pPr>
      <w:r w:rsidRPr="006E7B71">
        <w:t>Equally, the individual’s right to reputation under Article 8 is not overridden by the state’s investigative duty under Article 2. In all the debate about finding the ‘truth’ for victims these proper</w:t>
      </w:r>
      <w:r>
        <w:t xml:space="preserve"> constraints on investigators in the due interests of individuals are insufficiently appreciated and rarely mentioned in academic circles.</w:t>
      </w:r>
    </w:p>
    <w:sectPr w:rsidR="004C1A4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928" w:rsidRDefault="00A42928" w:rsidP="009D7030">
      <w:pPr>
        <w:spacing w:after="0" w:line="240" w:lineRule="auto"/>
      </w:pPr>
      <w:r>
        <w:separator/>
      </w:r>
    </w:p>
  </w:endnote>
  <w:endnote w:type="continuationSeparator" w:id="0">
    <w:p w:rsidR="00A42928" w:rsidRDefault="00A42928" w:rsidP="009D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928" w:rsidRDefault="00A42928" w:rsidP="009D7030">
      <w:pPr>
        <w:spacing w:after="0" w:line="240" w:lineRule="auto"/>
      </w:pPr>
      <w:r>
        <w:separator/>
      </w:r>
    </w:p>
  </w:footnote>
  <w:footnote w:type="continuationSeparator" w:id="0">
    <w:p w:rsidR="00A42928" w:rsidRDefault="00A42928" w:rsidP="009D7030">
      <w:pPr>
        <w:spacing w:after="0" w:line="240" w:lineRule="auto"/>
      </w:pPr>
      <w:r>
        <w:continuationSeparator/>
      </w:r>
    </w:p>
  </w:footnote>
  <w:footnote w:id="1">
    <w:p w:rsidR="00846861" w:rsidRDefault="00846861" w:rsidP="004F1692">
      <w:pPr>
        <w:pStyle w:val="FootnoteText"/>
        <w:jc w:val="both"/>
      </w:pPr>
      <w:r>
        <w:rPr>
          <w:rStyle w:val="FootnoteReference"/>
        </w:rPr>
        <w:footnoteRef/>
      </w:r>
      <w:r>
        <w:t xml:space="preserve"> </w:t>
      </w:r>
      <w:r w:rsidRPr="00846861">
        <w:t xml:space="preserve">See House of Commons Research Paper 05/78 for background and details into the 2005 proposal </w:t>
      </w:r>
      <w:hyperlink r:id="rId1" w:history="1">
        <w:r w:rsidRPr="00942775">
          <w:rPr>
            <w:rStyle w:val="Hyperlink"/>
          </w:rPr>
          <w:t>https://publications.parliament.uk/.../081/2006081.htm</w:t>
        </w:r>
      </w:hyperlink>
      <w:r>
        <w:t xml:space="preserve"> </w:t>
      </w:r>
    </w:p>
  </w:footnote>
  <w:footnote w:id="2">
    <w:p w:rsidR="00DA0470" w:rsidRDefault="00DA0470" w:rsidP="004F1692">
      <w:pPr>
        <w:pStyle w:val="FootnoteText"/>
        <w:jc w:val="both"/>
      </w:pPr>
      <w:r>
        <w:rPr>
          <w:rStyle w:val="FootnoteReference"/>
        </w:rPr>
        <w:footnoteRef/>
      </w:r>
      <w:r>
        <w:t xml:space="preserve"> </w:t>
      </w:r>
      <w:r w:rsidR="003D41D9">
        <w:t xml:space="preserve">Written ministerial statement of 18 March 2020 </w:t>
      </w:r>
      <w:hyperlink r:id="rId2" w:history="1">
        <w:r w:rsidR="003D41D9" w:rsidRPr="006C659E">
          <w:rPr>
            <w:rStyle w:val="Hyperlink"/>
          </w:rPr>
          <w:t>https://questions-statements.parliament.uk/written-statements/detail/2020-03-18/HLWS163</w:t>
        </w:r>
      </w:hyperlink>
      <w:r w:rsidR="003D41D9">
        <w:t xml:space="preserve"> </w:t>
      </w:r>
    </w:p>
  </w:footnote>
  <w:footnote w:id="3">
    <w:p w:rsidR="00911380" w:rsidRPr="00D54EF5" w:rsidRDefault="00911380" w:rsidP="00911380">
      <w:pPr>
        <w:spacing w:after="0" w:line="240" w:lineRule="auto"/>
        <w:jc w:val="both"/>
      </w:pPr>
      <w:r>
        <w:rPr>
          <w:rStyle w:val="FootnoteReference"/>
        </w:rPr>
        <w:footnoteRef/>
      </w:r>
      <w:r>
        <w:t xml:space="preserve"> </w:t>
      </w:r>
      <w:r w:rsidRPr="006A541A">
        <w:rPr>
          <w:sz w:val="20"/>
          <w:szCs w:val="20"/>
        </w:rPr>
        <w:t xml:space="preserve">Malone House Group submissions on the Council of Europe website: Article 2 legal opinion </w:t>
      </w:r>
      <w:r>
        <w:rPr>
          <w:sz w:val="20"/>
          <w:szCs w:val="20"/>
        </w:rPr>
        <w:t xml:space="preserve">by Austen Morgan </w:t>
      </w:r>
      <w:r w:rsidRPr="006A541A">
        <w:rPr>
          <w:rFonts w:eastAsia="Times New Roman"/>
          <w:bCs/>
          <w:color w:val="0000FF"/>
          <w:sz w:val="20"/>
          <w:szCs w:val="20"/>
          <w:u w:val="single"/>
          <w:lang w:eastAsia="en-GB"/>
        </w:rPr>
        <w:t>DH-DD(2020)500</w:t>
      </w:r>
      <w:r>
        <w:rPr>
          <w:sz w:val="20"/>
          <w:szCs w:val="20"/>
        </w:rPr>
        <w:t xml:space="preserve"> and </w:t>
      </w:r>
      <w:r w:rsidRPr="006A541A">
        <w:rPr>
          <w:sz w:val="20"/>
          <w:szCs w:val="20"/>
        </w:rPr>
        <w:t>SHA legal opinion</w:t>
      </w:r>
      <w:r>
        <w:rPr>
          <w:sz w:val="20"/>
          <w:szCs w:val="20"/>
        </w:rPr>
        <w:t xml:space="preserve"> by Peter Smith and Neil Faris</w:t>
      </w:r>
      <w:r w:rsidRPr="006A541A">
        <w:rPr>
          <w:sz w:val="20"/>
          <w:szCs w:val="20"/>
        </w:rPr>
        <w:t xml:space="preserve"> </w:t>
      </w:r>
      <w:r w:rsidRPr="006A541A">
        <w:rPr>
          <w:rFonts w:eastAsia="Times New Roman"/>
          <w:bCs/>
          <w:color w:val="0000FF"/>
          <w:sz w:val="20"/>
          <w:szCs w:val="20"/>
          <w:u w:val="single"/>
          <w:lang w:eastAsia="en-GB"/>
        </w:rPr>
        <w:t>DH-DD(2020)705</w:t>
      </w:r>
    </w:p>
    <w:p w:rsidR="00911380" w:rsidRPr="006A541A" w:rsidRDefault="00911380" w:rsidP="00911380">
      <w:pPr>
        <w:pStyle w:val="NoSpacing"/>
        <w:ind w:firstLine="720"/>
        <w:jc w:val="both"/>
        <w:rPr>
          <w:sz w:val="20"/>
          <w:szCs w:val="20"/>
        </w:rPr>
      </w:pPr>
    </w:p>
  </w:footnote>
  <w:footnote w:id="4">
    <w:p w:rsidR="00975FD4" w:rsidRDefault="00975FD4">
      <w:pPr>
        <w:pStyle w:val="FootnoteText"/>
      </w:pPr>
      <w:r>
        <w:rPr>
          <w:rStyle w:val="FootnoteReference"/>
        </w:rPr>
        <w:footnoteRef/>
      </w:r>
      <w:r>
        <w:t xml:space="preserve"> Hooded men judgment</w:t>
      </w:r>
      <w:r w:rsidR="00B33DB1">
        <w:t xml:space="preserve"> in</w:t>
      </w:r>
      <w:r>
        <w:t xml:space="preserve"> </w:t>
      </w:r>
      <w:r w:rsidR="00FA6808">
        <w:t xml:space="preserve">Belfast Court of Appeal </w:t>
      </w:r>
      <w:r w:rsidR="00B33DB1" w:rsidRPr="00B33DB1">
        <w:t xml:space="preserve">on 20 September </w:t>
      </w:r>
      <w:r w:rsidR="00B33DB1">
        <w:t>2019:</w:t>
      </w:r>
      <w:r w:rsidR="005E0D02">
        <w:t xml:space="preserve"> </w:t>
      </w:r>
      <w:hyperlink r:id="rId3" w:history="1">
        <w:r w:rsidRPr="007F6B8B">
          <w:rPr>
            <w:rStyle w:val="Hyperlink"/>
          </w:rPr>
          <w:t>https://www.judiciaryni.uk/sites/judiciary/files/decisions/Summary%20of%20judgment%20-%20In%20re%20Francis%20McGuigan%20and%20Mary%20McKenna%20(The%20Hooded%20Men).pdf</w:t>
        </w:r>
      </w:hyperlink>
      <w:r>
        <w:t xml:space="preserve"> </w:t>
      </w:r>
    </w:p>
  </w:footnote>
  <w:footnote w:id="5">
    <w:p w:rsidR="005D7714" w:rsidRDefault="005D7714" w:rsidP="005D7714">
      <w:pPr>
        <w:pStyle w:val="FootnoteText"/>
      </w:pPr>
      <w:r>
        <w:rPr>
          <w:rStyle w:val="FootnoteReference"/>
        </w:rPr>
        <w:footnoteRef/>
      </w:r>
      <w:r>
        <w:t xml:space="preserve"> Adams custody judgment  </w:t>
      </w:r>
      <w:hyperlink r:id="rId4" w:history="1">
        <w:r w:rsidRPr="00882B5B">
          <w:rPr>
            <w:rStyle w:val="Hyperlink"/>
          </w:rPr>
          <w:t>https://www.supremecourt.uk/cases/uksc-2018-0104.html</w:t>
        </w:r>
      </w:hyperlink>
      <w:r>
        <w:t xml:space="preserve"> </w:t>
      </w:r>
    </w:p>
  </w:footnote>
  <w:footnote w:id="6">
    <w:p w:rsidR="005E4D03" w:rsidRDefault="005E4D03" w:rsidP="005E4D03">
      <w:pPr>
        <w:pStyle w:val="FootnoteText"/>
      </w:pPr>
      <w:r>
        <w:rPr>
          <w:rStyle w:val="FootnoteReference"/>
        </w:rPr>
        <w:footnoteRef/>
      </w:r>
      <w:r>
        <w:t xml:space="preserve"> Adams custody judgment article by Jeffrey Dudgeon in News Letter on 21 May 2020: </w:t>
      </w:r>
      <w:hyperlink r:id="rId5" w:history="1">
        <w:r w:rsidRPr="007F6B8B">
          <w:rPr>
            <w:rStyle w:val="Hyperlink"/>
          </w:rPr>
          <w:t>https://www.newsletter.co.uk/news/crime/jeffrey-dudgeon-supreme-court-ruling-gerry-adams-ruling-didnt-reflect-violent-context-times-when-civil-war-was-imminent-2860821</w:t>
        </w:r>
      </w:hyperlink>
    </w:p>
  </w:footnote>
  <w:footnote w:id="7">
    <w:p w:rsidR="005E4D03" w:rsidRDefault="005E4D03" w:rsidP="005E4D03">
      <w:pPr>
        <w:pStyle w:val="FootnoteText"/>
      </w:pPr>
      <w:r>
        <w:rPr>
          <w:rStyle w:val="FootnoteReference"/>
        </w:rPr>
        <w:footnoteRef/>
      </w:r>
      <w:r>
        <w:t xml:space="preserve"> </w:t>
      </w:r>
      <w:r w:rsidR="00C70383">
        <w:t xml:space="preserve">Adams judgment custody judgment by </w:t>
      </w:r>
      <w:r>
        <w:t>Austen Morgan in Conservative Home o</w:t>
      </w:r>
      <w:r w:rsidR="00C70383">
        <w:t>n</w:t>
      </w:r>
      <w:r>
        <w:t xml:space="preserve"> 21 May 2021: </w:t>
      </w:r>
      <w:hyperlink r:id="rId6" w:history="1">
        <w:r w:rsidRPr="007F6B8B">
          <w:rPr>
            <w:rStyle w:val="Hyperlink"/>
          </w:rPr>
          <w:t>https://www.conservativehome.com/platform/2021/04/austen-morgan-as-gerry-adams-seeks-compensation-for-his-unlawful-detention-a-legal-conundrum-could-get-in-the-way.html</w:t>
        </w:r>
      </w:hyperlink>
      <w:r>
        <w:t xml:space="preserve"> </w:t>
      </w:r>
    </w:p>
  </w:footnote>
  <w:footnote w:id="8">
    <w:p w:rsidR="005D7714" w:rsidRDefault="005D7714" w:rsidP="005D7714">
      <w:pPr>
        <w:pStyle w:val="FootnoteText"/>
      </w:pPr>
      <w:r>
        <w:rPr>
          <w:rStyle w:val="FootnoteReference"/>
        </w:rPr>
        <w:footnoteRef/>
      </w:r>
      <w:r>
        <w:t xml:space="preserve"> ‘Introduction’ by Keegan J to Ballymurphy inquest findings on 11 May 2021</w:t>
      </w:r>
      <w:r w:rsidRPr="009B4F9B">
        <w:t xml:space="preserve">: </w:t>
      </w:r>
      <w:hyperlink r:id="rId7" w:history="1">
        <w:r w:rsidRPr="00251541">
          <w:rPr>
            <w:rStyle w:val="Hyperlink"/>
          </w:rPr>
          <w:t>https://www.judiciaryni.uk/sites/judiciary/files/decisions/In%20the%20matter%20of%20a%20series%20of%20deaths%20that%20occurred%20in%20August%201971%20at%20Ballymurphy%2C%20West%20Belfast%20-%20Introduction.pdf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679786"/>
      <w:docPartObj>
        <w:docPartGallery w:val="Page Numbers (Top of Page)"/>
        <w:docPartUnique/>
      </w:docPartObj>
    </w:sdtPr>
    <w:sdtEndPr>
      <w:rPr>
        <w:noProof/>
      </w:rPr>
    </w:sdtEndPr>
    <w:sdtContent>
      <w:p w:rsidR="009D7030" w:rsidRDefault="009D7030">
        <w:pPr>
          <w:pStyle w:val="Header"/>
          <w:jc w:val="right"/>
        </w:pPr>
        <w:r>
          <w:fldChar w:fldCharType="begin"/>
        </w:r>
        <w:r>
          <w:instrText xml:space="preserve"> PAGE   \* MERGEFORMAT </w:instrText>
        </w:r>
        <w:r>
          <w:fldChar w:fldCharType="separate"/>
        </w:r>
        <w:r w:rsidR="009F001A">
          <w:rPr>
            <w:noProof/>
          </w:rPr>
          <w:t>2</w:t>
        </w:r>
        <w:r>
          <w:rPr>
            <w:noProof/>
          </w:rPr>
          <w:fldChar w:fldCharType="end"/>
        </w:r>
      </w:p>
    </w:sdtContent>
  </w:sdt>
  <w:p w:rsidR="009D7030" w:rsidRDefault="009D7030">
    <w:pPr>
      <w:pStyle w:val="Header"/>
    </w:pPr>
  </w:p>
  <w:p w:rsidR="00AD2141" w:rsidRDefault="00AD21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A7DE1"/>
    <w:multiLevelType w:val="multilevel"/>
    <w:tmpl w:val="02C8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DF287B"/>
    <w:multiLevelType w:val="hybridMultilevel"/>
    <w:tmpl w:val="3D8A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451E07"/>
    <w:multiLevelType w:val="hybridMultilevel"/>
    <w:tmpl w:val="AB426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EA43E73"/>
    <w:multiLevelType w:val="hybridMultilevel"/>
    <w:tmpl w:val="200A8138"/>
    <w:lvl w:ilvl="0" w:tplc="2AC2DD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90"/>
    <w:rsid w:val="00007942"/>
    <w:rsid w:val="00041D00"/>
    <w:rsid w:val="0007565C"/>
    <w:rsid w:val="00093AFC"/>
    <w:rsid w:val="000A26E5"/>
    <w:rsid w:val="000B5912"/>
    <w:rsid w:val="000D27C1"/>
    <w:rsid w:val="000E0A02"/>
    <w:rsid w:val="000E12BC"/>
    <w:rsid w:val="000F09AB"/>
    <w:rsid w:val="00111AC3"/>
    <w:rsid w:val="00112391"/>
    <w:rsid w:val="00117ED6"/>
    <w:rsid w:val="0012243A"/>
    <w:rsid w:val="00166A20"/>
    <w:rsid w:val="00177636"/>
    <w:rsid w:val="001B3A30"/>
    <w:rsid w:val="001D2D3B"/>
    <w:rsid w:val="001D3EAD"/>
    <w:rsid w:val="001E0913"/>
    <w:rsid w:val="001E1C80"/>
    <w:rsid w:val="001F29F3"/>
    <w:rsid w:val="001F383F"/>
    <w:rsid w:val="001F4EB4"/>
    <w:rsid w:val="001F7166"/>
    <w:rsid w:val="002065E6"/>
    <w:rsid w:val="00215373"/>
    <w:rsid w:val="00230D99"/>
    <w:rsid w:val="0026397C"/>
    <w:rsid w:val="00263A2F"/>
    <w:rsid w:val="00275FCC"/>
    <w:rsid w:val="00287370"/>
    <w:rsid w:val="002A6155"/>
    <w:rsid w:val="002C0DC0"/>
    <w:rsid w:val="002C4988"/>
    <w:rsid w:val="002C57EA"/>
    <w:rsid w:val="002D09D1"/>
    <w:rsid w:val="002D323E"/>
    <w:rsid w:val="00301CC0"/>
    <w:rsid w:val="00303F31"/>
    <w:rsid w:val="0032182F"/>
    <w:rsid w:val="00343173"/>
    <w:rsid w:val="0036086F"/>
    <w:rsid w:val="00372106"/>
    <w:rsid w:val="00376E6E"/>
    <w:rsid w:val="00377768"/>
    <w:rsid w:val="00383076"/>
    <w:rsid w:val="00395CD9"/>
    <w:rsid w:val="003A7C65"/>
    <w:rsid w:val="003B01A3"/>
    <w:rsid w:val="003B2B42"/>
    <w:rsid w:val="003C2C31"/>
    <w:rsid w:val="003C55A8"/>
    <w:rsid w:val="003D41D9"/>
    <w:rsid w:val="00441B07"/>
    <w:rsid w:val="00450408"/>
    <w:rsid w:val="004637FA"/>
    <w:rsid w:val="004655E8"/>
    <w:rsid w:val="004710D7"/>
    <w:rsid w:val="00471493"/>
    <w:rsid w:val="004727F8"/>
    <w:rsid w:val="004A1228"/>
    <w:rsid w:val="004A63C3"/>
    <w:rsid w:val="004B4F45"/>
    <w:rsid w:val="004C1A4B"/>
    <w:rsid w:val="004D68A4"/>
    <w:rsid w:val="004F049D"/>
    <w:rsid w:val="004F1692"/>
    <w:rsid w:val="004F5BD0"/>
    <w:rsid w:val="005008AA"/>
    <w:rsid w:val="00503053"/>
    <w:rsid w:val="00506E44"/>
    <w:rsid w:val="005137CF"/>
    <w:rsid w:val="00525C3F"/>
    <w:rsid w:val="005378EC"/>
    <w:rsid w:val="00566E6B"/>
    <w:rsid w:val="00571109"/>
    <w:rsid w:val="00576D34"/>
    <w:rsid w:val="00583936"/>
    <w:rsid w:val="0058617D"/>
    <w:rsid w:val="005913EE"/>
    <w:rsid w:val="005A2B1C"/>
    <w:rsid w:val="005A7C08"/>
    <w:rsid w:val="005D7714"/>
    <w:rsid w:val="005D7BB0"/>
    <w:rsid w:val="005E0D02"/>
    <w:rsid w:val="005E4D03"/>
    <w:rsid w:val="005E4F84"/>
    <w:rsid w:val="005F232D"/>
    <w:rsid w:val="006176E5"/>
    <w:rsid w:val="00622009"/>
    <w:rsid w:val="006571C5"/>
    <w:rsid w:val="00670BFE"/>
    <w:rsid w:val="00673E0C"/>
    <w:rsid w:val="006834A8"/>
    <w:rsid w:val="0069321E"/>
    <w:rsid w:val="00695B8D"/>
    <w:rsid w:val="006A0E71"/>
    <w:rsid w:val="006A541A"/>
    <w:rsid w:val="006A7D68"/>
    <w:rsid w:val="006B661A"/>
    <w:rsid w:val="006D24E5"/>
    <w:rsid w:val="006D592D"/>
    <w:rsid w:val="006D6061"/>
    <w:rsid w:val="006E7B71"/>
    <w:rsid w:val="006E7BFE"/>
    <w:rsid w:val="007172F9"/>
    <w:rsid w:val="007219CE"/>
    <w:rsid w:val="007276D2"/>
    <w:rsid w:val="007324E4"/>
    <w:rsid w:val="00737F44"/>
    <w:rsid w:val="007461E7"/>
    <w:rsid w:val="00791087"/>
    <w:rsid w:val="007972AA"/>
    <w:rsid w:val="007F65C7"/>
    <w:rsid w:val="00802619"/>
    <w:rsid w:val="008073A5"/>
    <w:rsid w:val="00815821"/>
    <w:rsid w:val="0082259D"/>
    <w:rsid w:val="00846861"/>
    <w:rsid w:val="0086135D"/>
    <w:rsid w:val="008727EF"/>
    <w:rsid w:val="00880BD6"/>
    <w:rsid w:val="00883BA1"/>
    <w:rsid w:val="00886317"/>
    <w:rsid w:val="008A6D11"/>
    <w:rsid w:val="008B61B8"/>
    <w:rsid w:val="008C1AF0"/>
    <w:rsid w:val="008D30F5"/>
    <w:rsid w:val="008E75A6"/>
    <w:rsid w:val="00911380"/>
    <w:rsid w:val="00943BEB"/>
    <w:rsid w:val="00961390"/>
    <w:rsid w:val="00963C7B"/>
    <w:rsid w:val="0096428D"/>
    <w:rsid w:val="0096474C"/>
    <w:rsid w:val="00975FD4"/>
    <w:rsid w:val="00981C5C"/>
    <w:rsid w:val="00984F33"/>
    <w:rsid w:val="009A57A2"/>
    <w:rsid w:val="009B4F9B"/>
    <w:rsid w:val="009D7030"/>
    <w:rsid w:val="009E1F73"/>
    <w:rsid w:val="009F001A"/>
    <w:rsid w:val="009F3F7B"/>
    <w:rsid w:val="00A02DD8"/>
    <w:rsid w:val="00A166B9"/>
    <w:rsid w:val="00A22E7D"/>
    <w:rsid w:val="00A375ED"/>
    <w:rsid w:val="00A3763F"/>
    <w:rsid w:val="00A42928"/>
    <w:rsid w:val="00A44CBF"/>
    <w:rsid w:val="00A50964"/>
    <w:rsid w:val="00A55ADD"/>
    <w:rsid w:val="00A6400E"/>
    <w:rsid w:val="00A84CBE"/>
    <w:rsid w:val="00A86C5D"/>
    <w:rsid w:val="00A90669"/>
    <w:rsid w:val="00A908A7"/>
    <w:rsid w:val="00A91621"/>
    <w:rsid w:val="00A97481"/>
    <w:rsid w:val="00A97BE4"/>
    <w:rsid w:val="00AA1B20"/>
    <w:rsid w:val="00AA316D"/>
    <w:rsid w:val="00AB5D38"/>
    <w:rsid w:val="00AB7068"/>
    <w:rsid w:val="00AD2141"/>
    <w:rsid w:val="00AD4144"/>
    <w:rsid w:val="00AE35D2"/>
    <w:rsid w:val="00AF66D4"/>
    <w:rsid w:val="00AF7DB0"/>
    <w:rsid w:val="00B17B63"/>
    <w:rsid w:val="00B33DB1"/>
    <w:rsid w:val="00B42B61"/>
    <w:rsid w:val="00B51B85"/>
    <w:rsid w:val="00B62AF0"/>
    <w:rsid w:val="00B703AB"/>
    <w:rsid w:val="00B72D90"/>
    <w:rsid w:val="00B730E7"/>
    <w:rsid w:val="00B77C89"/>
    <w:rsid w:val="00BC390E"/>
    <w:rsid w:val="00BE45A5"/>
    <w:rsid w:val="00BE740F"/>
    <w:rsid w:val="00BF2557"/>
    <w:rsid w:val="00C00A9B"/>
    <w:rsid w:val="00C10937"/>
    <w:rsid w:val="00C24EB3"/>
    <w:rsid w:val="00C67F71"/>
    <w:rsid w:val="00C70383"/>
    <w:rsid w:val="00C81E4E"/>
    <w:rsid w:val="00C95954"/>
    <w:rsid w:val="00CB3CB3"/>
    <w:rsid w:val="00CC0DAD"/>
    <w:rsid w:val="00CC42FB"/>
    <w:rsid w:val="00CC534A"/>
    <w:rsid w:val="00CD3AFA"/>
    <w:rsid w:val="00CE7EDE"/>
    <w:rsid w:val="00D02268"/>
    <w:rsid w:val="00D40AC0"/>
    <w:rsid w:val="00D47B40"/>
    <w:rsid w:val="00D52A44"/>
    <w:rsid w:val="00D54EF5"/>
    <w:rsid w:val="00D7122C"/>
    <w:rsid w:val="00DA0470"/>
    <w:rsid w:val="00DA3DF1"/>
    <w:rsid w:val="00DC5766"/>
    <w:rsid w:val="00DD5C0B"/>
    <w:rsid w:val="00DE2DD9"/>
    <w:rsid w:val="00DF150E"/>
    <w:rsid w:val="00E03CCF"/>
    <w:rsid w:val="00E15A59"/>
    <w:rsid w:val="00E36691"/>
    <w:rsid w:val="00E47829"/>
    <w:rsid w:val="00E63ED0"/>
    <w:rsid w:val="00E84320"/>
    <w:rsid w:val="00E84FA7"/>
    <w:rsid w:val="00E925F3"/>
    <w:rsid w:val="00E952FC"/>
    <w:rsid w:val="00E95D97"/>
    <w:rsid w:val="00EB2495"/>
    <w:rsid w:val="00EB278F"/>
    <w:rsid w:val="00EB4A3C"/>
    <w:rsid w:val="00EC139D"/>
    <w:rsid w:val="00EF57C4"/>
    <w:rsid w:val="00F06DCA"/>
    <w:rsid w:val="00F0700F"/>
    <w:rsid w:val="00F109DC"/>
    <w:rsid w:val="00F12191"/>
    <w:rsid w:val="00F1705C"/>
    <w:rsid w:val="00F2177D"/>
    <w:rsid w:val="00F33DEF"/>
    <w:rsid w:val="00F41C27"/>
    <w:rsid w:val="00F4305B"/>
    <w:rsid w:val="00F511A3"/>
    <w:rsid w:val="00F53794"/>
    <w:rsid w:val="00F76A2D"/>
    <w:rsid w:val="00F8150C"/>
    <w:rsid w:val="00F95C56"/>
    <w:rsid w:val="00FA6808"/>
    <w:rsid w:val="00FB12F0"/>
    <w:rsid w:val="00FD53AB"/>
    <w:rsid w:val="00FD5FA8"/>
    <w:rsid w:val="00FD7CC5"/>
    <w:rsid w:val="00FE7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57C4"/>
    <w:pPr>
      <w:spacing w:after="0" w:line="240" w:lineRule="auto"/>
    </w:pPr>
  </w:style>
  <w:style w:type="character" w:styleId="Hyperlink">
    <w:name w:val="Hyperlink"/>
    <w:basedOn w:val="DefaultParagraphFont"/>
    <w:uiPriority w:val="99"/>
    <w:unhideWhenUsed/>
    <w:rsid w:val="000A26E5"/>
    <w:rPr>
      <w:color w:val="0000FF" w:themeColor="hyperlink"/>
      <w:u w:val="single"/>
    </w:rPr>
  </w:style>
  <w:style w:type="paragraph" w:customStyle="1" w:styleId="paragraph">
    <w:name w:val="paragraph"/>
    <w:basedOn w:val="Normal"/>
    <w:rsid w:val="0096428D"/>
    <w:pPr>
      <w:spacing w:before="100" w:beforeAutospacing="1" w:after="100" w:afterAutospacing="1" w:line="240" w:lineRule="auto"/>
    </w:pPr>
    <w:rPr>
      <w:rFonts w:eastAsia="Times New Roman"/>
      <w:lang w:eastAsia="en-GB"/>
    </w:rPr>
  </w:style>
  <w:style w:type="character" w:customStyle="1" w:styleId="normaltextrun">
    <w:name w:val="normaltextrun"/>
    <w:basedOn w:val="DefaultParagraphFont"/>
    <w:rsid w:val="0096428D"/>
  </w:style>
  <w:style w:type="character" w:customStyle="1" w:styleId="eop">
    <w:name w:val="eop"/>
    <w:basedOn w:val="DefaultParagraphFont"/>
    <w:rsid w:val="0096428D"/>
  </w:style>
  <w:style w:type="paragraph" w:styleId="Header">
    <w:name w:val="header"/>
    <w:basedOn w:val="Normal"/>
    <w:link w:val="HeaderChar"/>
    <w:uiPriority w:val="99"/>
    <w:unhideWhenUsed/>
    <w:rsid w:val="009D7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030"/>
  </w:style>
  <w:style w:type="paragraph" w:styleId="Footer">
    <w:name w:val="footer"/>
    <w:basedOn w:val="Normal"/>
    <w:link w:val="FooterChar"/>
    <w:uiPriority w:val="99"/>
    <w:unhideWhenUsed/>
    <w:rsid w:val="009D7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030"/>
  </w:style>
  <w:style w:type="paragraph" w:styleId="BalloonText">
    <w:name w:val="Balloon Text"/>
    <w:basedOn w:val="Normal"/>
    <w:link w:val="BalloonTextChar"/>
    <w:uiPriority w:val="99"/>
    <w:semiHidden/>
    <w:unhideWhenUsed/>
    <w:rsid w:val="0000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42"/>
    <w:rPr>
      <w:rFonts w:ascii="Tahoma" w:hAnsi="Tahoma" w:cs="Tahoma"/>
      <w:sz w:val="16"/>
      <w:szCs w:val="16"/>
    </w:rPr>
  </w:style>
  <w:style w:type="paragraph" w:styleId="FootnoteText">
    <w:name w:val="footnote text"/>
    <w:basedOn w:val="Normal"/>
    <w:link w:val="FootnoteTextChar"/>
    <w:uiPriority w:val="99"/>
    <w:semiHidden/>
    <w:unhideWhenUsed/>
    <w:rsid w:val="00846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861"/>
    <w:rPr>
      <w:sz w:val="20"/>
      <w:szCs w:val="20"/>
    </w:rPr>
  </w:style>
  <w:style w:type="character" w:styleId="FootnoteReference">
    <w:name w:val="footnote reference"/>
    <w:basedOn w:val="DefaultParagraphFont"/>
    <w:uiPriority w:val="99"/>
    <w:semiHidden/>
    <w:unhideWhenUsed/>
    <w:rsid w:val="00846861"/>
    <w:rPr>
      <w:vertAlign w:val="superscript"/>
    </w:rPr>
  </w:style>
  <w:style w:type="paragraph" w:styleId="ListParagraph">
    <w:name w:val="List Paragraph"/>
    <w:basedOn w:val="Normal"/>
    <w:uiPriority w:val="34"/>
    <w:qFormat/>
    <w:rsid w:val="00EB2495"/>
    <w:pPr>
      <w:ind w:left="720"/>
      <w:contextualSpacing/>
    </w:pPr>
    <w:rPr>
      <w:rFonts w:asciiTheme="minorHAnsi" w:hAnsiTheme="minorHAnsi" w:cstheme="minorBidi"/>
      <w:sz w:val="22"/>
      <w:szCs w:val="22"/>
    </w:rPr>
  </w:style>
  <w:style w:type="paragraph" w:customStyle="1" w:styleId="Default">
    <w:name w:val="Default"/>
    <w:rsid w:val="00975FD4"/>
    <w:pPr>
      <w:autoSpaceDE w:val="0"/>
      <w:autoSpaceDN w:val="0"/>
      <w:adjustRightInd w:val="0"/>
      <w:spacing w:after="0" w:line="240" w:lineRule="auto"/>
    </w:pPr>
    <w:rPr>
      <w:rFonts w:ascii="Book Antiqua" w:hAnsi="Book Antiqua" w:cs="Book Antiqua"/>
      <w:color w:val="000000"/>
    </w:rPr>
  </w:style>
  <w:style w:type="character" w:styleId="FollowedHyperlink">
    <w:name w:val="FollowedHyperlink"/>
    <w:basedOn w:val="DefaultParagraphFont"/>
    <w:uiPriority w:val="99"/>
    <w:semiHidden/>
    <w:unhideWhenUsed/>
    <w:rsid w:val="00AF7D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57C4"/>
    <w:pPr>
      <w:spacing w:after="0" w:line="240" w:lineRule="auto"/>
    </w:pPr>
  </w:style>
  <w:style w:type="character" w:styleId="Hyperlink">
    <w:name w:val="Hyperlink"/>
    <w:basedOn w:val="DefaultParagraphFont"/>
    <w:uiPriority w:val="99"/>
    <w:unhideWhenUsed/>
    <w:rsid w:val="000A26E5"/>
    <w:rPr>
      <w:color w:val="0000FF" w:themeColor="hyperlink"/>
      <w:u w:val="single"/>
    </w:rPr>
  </w:style>
  <w:style w:type="paragraph" w:customStyle="1" w:styleId="paragraph">
    <w:name w:val="paragraph"/>
    <w:basedOn w:val="Normal"/>
    <w:rsid w:val="0096428D"/>
    <w:pPr>
      <w:spacing w:before="100" w:beforeAutospacing="1" w:after="100" w:afterAutospacing="1" w:line="240" w:lineRule="auto"/>
    </w:pPr>
    <w:rPr>
      <w:rFonts w:eastAsia="Times New Roman"/>
      <w:lang w:eastAsia="en-GB"/>
    </w:rPr>
  </w:style>
  <w:style w:type="character" w:customStyle="1" w:styleId="normaltextrun">
    <w:name w:val="normaltextrun"/>
    <w:basedOn w:val="DefaultParagraphFont"/>
    <w:rsid w:val="0096428D"/>
  </w:style>
  <w:style w:type="character" w:customStyle="1" w:styleId="eop">
    <w:name w:val="eop"/>
    <w:basedOn w:val="DefaultParagraphFont"/>
    <w:rsid w:val="0096428D"/>
  </w:style>
  <w:style w:type="paragraph" w:styleId="Header">
    <w:name w:val="header"/>
    <w:basedOn w:val="Normal"/>
    <w:link w:val="HeaderChar"/>
    <w:uiPriority w:val="99"/>
    <w:unhideWhenUsed/>
    <w:rsid w:val="009D7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030"/>
  </w:style>
  <w:style w:type="paragraph" w:styleId="Footer">
    <w:name w:val="footer"/>
    <w:basedOn w:val="Normal"/>
    <w:link w:val="FooterChar"/>
    <w:uiPriority w:val="99"/>
    <w:unhideWhenUsed/>
    <w:rsid w:val="009D7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030"/>
  </w:style>
  <w:style w:type="paragraph" w:styleId="BalloonText">
    <w:name w:val="Balloon Text"/>
    <w:basedOn w:val="Normal"/>
    <w:link w:val="BalloonTextChar"/>
    <w:uiPriority w:val="99"/>
    <w:semiHidden/>
    <w:unhideWhenUsed/>
    <w:rsid w:val="0000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42"/>
    <w:rPr>
      <w:rFonts w:ascii="Tahoma" w:hAnsi="Tahoma" w:cs="Tahoma"/>
      <w:sz w:val="16"/>
      <w:szCs w:val="16"/>
    </w:rPr>
  </w:style>
  <w:style w:type="paragraph" w:styleId="FootnoteText">
    <w:name w:val="footnote text"/>
    <w:basedOn w:val="Normal"/>
    <w:link w:val="FootnoteTextChar"/>
    <w:uiPriority w:val="99"/>
    <w:semiHidden/>
    <w:unhideWhenUsed/>
    <w:rsid w:val="00846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861"/>
    <w:rPr>
      <w:sz w:val="20"/>
      <w:szCs w:val="20"/>
    </w:rPr>
  </w:style>
  <w:style w:type="character" w:styleId="FootnoteReference">
    <w:name w:val="footnote reference"/>
    <w:basedOn w:val="DefaultParagraphFont"/>
    <w:uiPriority w:val="99"/>
    <w:semiHidden/>
    <w:unhideWhenUsed/>
    <w:rsid w:val="00846861"/>
    <w:rPr>
      <w:vertAlign w:val="superscript"/>
    </w:rPr>
  </w:style>
  <w:style w:type="paragraph" w:styleId="ListParagraph">
    <w:name w:val="List Paragraph"/>
    <w:basedOn w:val="Normal"/>
    <w:uiPriority w:val="34"/>
    <w:qFormat/>
    <w:rsid w:val="00EB2495"/>
    <w:pPr>
      <w:ind w:left="720"/>
      <w:contextualSpacing/>
    </w:pPr>
    <w:rPr>
      <w:rFonts w:asciiTheme="minorHAnsi" w:hAnsiTheme="minorHAnsi" w:cstheme="minorBidi"/>
      <w:sz w:val="22"/>
      <w:szCs w:val="22"/>
    </w:rPr>
  </w:style>
  <w:style w:type="paragraph" w:customStyle="1" w:styleId="Default">
    <w:name w:val="Default"/>
    <w:rsid w:val="00975FD4"/>
    <w:pPr>
      <w:autoSpaceDE w:val="0"/>
      <w:autoSpaceDN w:val="0"/>
      <w:adjustRightInd w:val="0"/>
      <w:spacing w:after="0" w:line="240" w:lineRule="auto"/>
    </w:pPr>
    <w:rPr>
      <w:rFonts w:ascii="Book Antiqua" w:hAnsi="Book Antiqua" w:cs="Book Antiqua"/>
      <w:color w:val="000000"/>
    </w:rPr>
  </w:style>
  <w:style w:type="character" w:styleId="FollowedHyperlink">
    <w:name w:val="FollowedHyperlink"/>
    <w:basedOn w:val="DefaultParagraphFont"/>
    <w:uiPriority w:val="99"/>
    <w:semiHidden/>
    <w:unhideWhenUsed/>
    <w:rsid w:val="00AF7D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udiciaryni.uk/sites/judiciary/files/decisions/Summary%20of%20judgment%20-%20In%20re%20Francis%20McGuigan%20and%20Mary%20McKenna%20(The%20Hooded%20Men).pdf" TargetMode="External"/><Relationship Id="rId7" Type="http://schemas.openxmlformats.org/officeDocument/2006/relationships/hyperlink" Target="https://www.judiciaryni.uk/sites/judiciary/files/decisions/In%20the%20matter%20of%20a%20series%20of%20deaths%20that%20occurred%20in%20August%201971%20at%20Ballymurphy%2C%20West%20Belfast%20-%20Introduction.pdf" TargetMode="External"/><Relationship Id="rId2" Type="http://schemas.openxmlformats.org/officeDocument/2006/relationships/hyperlink" Target="https://questions-statements.parliament.uk/written-statements/detail/2020-03-18/HLWS163" TargetMode="External"/><Relationship Id="rId1" Type="http://schemas.openxmlformats.org/officeDocument/2006/relationships/hyperlink" Target="https://publications.parliament.uk/.../081/2006081.htm" TargetMode="External"/><Relationship Id="rId6" Type="http://schemas.openxmlformats.org/officeDocument/2006/relationships/hyperlink" Target="https://www.conservativehome.com/platform/2021/04/austen-morgan-as-gerry-adams-seeks-compensation-for-his-unlawful-detention-a-legal-conundrum-could-get-in-the-way.html" TargetMode="External"/><Relationship Id="rId5" Type="http://schemas.openxmlformats.org/officeDocument/2006/relationships/hyperlink" Target="https://www.newsletter.co.uk/news/crime/jeffrey-dudgeon-supreme-court-ruling-gerry-adams-ruling-didnt-reflect-violent-context-times-when-civil-war-was-imminent-2860821" TargetMode="External"/><Relationship Id="rId4" Type="http://schemas.openxmlformats.org/officeDocument/2006/relationships/hyperlink" Target="https://www.supremecourt.uk/cases/uksc-2018-01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3298</TotalTime>
  <Pages>12</Pages>
  <Words>6527</Words>
  <Characters>37210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dc:creator>
  <cp:lastModifiedBy>0</cp:lastModifiedBy>
  <cp:revision>135</cp:revision>
  <cp:lastPrinted>2021-05-18T10:25:00Z</cp:lastPrinted>
  <dcterms:created xsi:type="dcterms:W3CDTF">2021-04-06T11:25:00Z</dcterms:created>
  <dcterms:modified xsi:type="dcterms:W3CDTF">2021-10-05T11:12:00Z</dcterms:modified>
</cp:coreProperties>
</file>