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B1844" w14:textId="2832D94C" w:rsidR="00085F12" w:rsidRPr="00C97980" w:rsidRDefault="00E44EFA" w:rsidP="00E371E1">
      <w:pPr>
        <w:pStyle w:val="NoSpacing"/>
        <w:jc w:val="center"/>
        <w:rPr>
          <w:rFonts w:ascii="Times New Roman" w:hAnsi="Times New Roman" w:cs="Times New Roman"/>
          <w:b/>
          <w:sz w:val="24"/>
          <w:szCs w:val="24"/>
        </w:rPr>
      </w:pPr>
      <w:r w:rsidRPr="00C97980">
        <w:rPr>
          <w:rFonts w:ascii="Times New Roman" w:hAnsi="Times New Roman" w:cs="Times New Roman"/>
          <w:b/>
          <w:sz w:val="24"/>
          <w:szCs w:val="24"/>
        </w:rPr>
        <w:t>IN THE MATTER OF THE EUROPEAN CONVENTION ON HUMAN RIGHTS</w:t>
      </w:r>
    </w:p>
    <w:p w14:paraId="518125C1" w14:textId="64799AC1" w:rsidR="00085F12" w:rsidRDefault="00E44EFA" w:rsidP="00085F12">
      <w:pPr>
        <w:pStyle w:val="NoSpacing"/>
        <w:jc w:val="center"/>
        <w:rPr>
          <w:rFonts w:ascii="Times New Roman" w:hAnsi="Times New Roman" w:cs="Times New Roman"/>
          <w:b/>
          <w:sz w:val="24"/>
          <w:szCs w:val="24"/>
        </w:rPr>
      </w:pPr>
      <w:r w:rsidRPr="00C97980">
        <w:rPr>
          <w:rFonts w:ascii="Times New Roman" w:hAnsi="Times New Roman" w:cs="Times New Roman"/>
          <w:b/>
          <w:sz w:val="24"/>
          <w:szCs w:val="24"/>
        </w:rPr>
        <w:t>ARTICLE 2 PROCEDURAL</w:t>
      </w:r>
      <w:r w:rsidR="0049202A" w:rsidRPr="00C97980">
        <w:rPr>
          <w:rFonts w:ascii="Times New Roman" w:hAnsi="Times New Roman" w:cs="Times New Roman"/>
          <w:b/>
          <w:sz w:val="24"/>
          <w:szCs w:val="24"/>
        </w:rPr>
        <w:t xml:space="preserve"> IN </w:t>
      </w:r>
      <w:r w:rsidR="00085F12" w:rsidRPr="00C97980">
        <w:rPr>
          <w:rFonts w:ascii="Times New Roman" w:hAnsi="Times New Roman" w:cs="Times New Roman"/>
          <w:b/>
          <w:sz w:val="24"/>
          <w:szCs w:val="24"/>
        </w:rPr>
        <w:t>NORTHERN IRELAND</w:t>
      </w:r>
      <w:r w:rsidR="00085F12">
        <w:rPr>
          <w:rFonts w:ascii="Times New Roman" w:hAnsi="Times New Roman" w:cs="Times New Roman"/>
          <w:b/>
          <w:sz w:val="24"/>
          <w:szCs w:val="24"/>
        </w:rPr>
        <w:t xml:space="preserve"> </w:t>
      </w:r>
    </w:p>
    <w:p w14:paraId="2035EA97" w14:textId="77777777" w:rsidR="00085F12" w:rsidRDefault="00085F12" w:rsidP="00E371E1">
      <w:pPr>
        <w:pStyle w:val="NoSpacing"/>
        <w:jc w:val="center"/>
        <w:rPr>
          <w:rFonts w:ascii="Times New Roman" w:hAnsi="Times New Roman" w:cs="Times New Roman"/>
          <w:b/>
          <w:sz w:val="24"/>
          <w:szCs w:val="24"/>
        </w:rPr>
      </w:pPr>
    </w:p>
    <w:p w14:paraId="6FA718FB" w14:textId="6292438A" w:rsidR="00E44EFA" w:rsidRPr="00C97980" w:rsidRDefault="00085F12" w:rsidP="00E371E1">
      <w:pPr>
        <w:pStyle w:val="NoSpacing"/>
        <w:jc w:val="center"/>
        <w:rPr>
          <w:rFonts w:ascii="Times New Roman" w:hAnsi="Times New Roman" w:cs="Times New Roman"/>
          <w:b/>
          <w:sz w:val="24"/>
          <w:szCs w:val="24"/>
        </w:rPr>
      </w:pPr>
      <w:r>
        <w:rPr>
          <w:rFonts w:ascii="Times New Roman" w:hAnsi="Times New Roman" w:cs="Times New Roman"/>
          <w:b/>
          <w:sz w:val="24"/>
          <w:szCs w:val="24"/>
        </w:rPr>
        <w:t>(McKERR GROUP OF CASES)</w:t>
      </w:r>
    </w:p>
    <w:p w14:paraId="5F12580E" w14:textId="77777777" w:rsidR="004E0038" w:rsidRDefault="004E0038" w:rsidP="004E0038">
      <w:pPr>
        <w:pStyle w:val="NoSpacing"/>
        <w:rPr>
          <w:rFonts w:ascii="Times New Roman" w:hAnsi="Times New Roman" w:cs="Times New Roman"/>
          <w:sz w:val="24"/>
          <w:szCs w:val="24"/>
        </w:rPr>
      </w:pPr>
    </w:p>
    <w:p w14:paraId="2671FA76" w14:textId="6F247B21" w:rsidR="004E0038" w:rsidRDefault="004E0038" w:rsidP="00E371E1">
      <w:pPr>
        <w:pStyle w:val="NoSpacing"/>
        <w:jc w:val="center"/>
        <w:rPr>
          <w:rFonts w:ascii="Times New Roman" w:hAnsi="Times New Roman" w:cs="Times New Roman"/>
          <w:sz w:val="24"/>
          <w:szCs w:val="24"/>
        </w:rPr>
      </w:pPr>
      <w:hyperlink r:id="rId9" w:tooltip="1377bis meeting (1-3 September 2020) (DH) - Rule 9.2 - Communication from an NGO (Malone House Group) (29/05/2020) in the MCKERR group of cases v. the United Kingdom (Application No. 28883/95) [Anglais uniquement] " w:history="1">
        <w:r w:rsidRPr="004E0038">
          <w:rPr>
            <w:rStyle w:val="Hyperlink"/>
            <w:rFonts w:ascii="Times New Roman" w:hAnsi="Times New Roman" w:cs="Times New Roman"/>
            <w:sz w:val="24"/>
            <w:szCs w:val="24"/>
          </w:rPr>
          <w:t>DH-</w:t>
        </w:r>
        <w:proofErr w:type="gramStart"/>
        <w:r w:rsidRPr="004E0038">
          <w:rPr>
            <w:rStyle w:val="Hyperlink"/>
            <w:rFonts w:ascii="Times New Roman" w:hAnsi="Times New Roman" w:cs="Times New Roman"/>
            <w:sz w:val="24"/>
            <w:szCs w:val="24"/>
          </w:rPr>
          <w:t>DD(</w:t>
        </w:r>
        <w:proofErr w:type="gramEnd"/>
        <w:r w:rsidRPr="004E0038">
          <w:rPr>
            <w:rStyle w:val="Hyperlink"/>
            <w:rFonts w:ascii="Times New Roman" w:hAnsi="Times New Roman" w:cs="Times New Roman"/>
            <w:sz w:val="24"/>
            <w:szCs w:val="24"/>
          </w:rPr>
          <w:t>2020)500</w:t>
        </w:r>
      </w:hyperlink>
      <w:bookmarkStart w:id="0" w:name="_GoBack"/>
      <w:bookmarkEnd w:id="0"/>
    </w:p>
    <w:p w14:paraId="089D206B" w14:textId="77777777" w:rsidR="00E44EFA" w:rsidRDefault="00E44EFA" w:rsidP="00E371E1">
      <w:pPr>
        <w:pStyle w:val="NoSpacing"/>
        <w:jc w:val="center"/>
        <w:rPr>
          <w:rFonts w:ascii="Times New Roman" w:hAnsi="Times New Roman" w:cs="Times New Roman"/>
          <w:sz w:val="24"/>
          <w:szCs w:val="24"/>
        </w:rPr>
      </w:pPr>
    </w:p>
    <w:p w14:paraId="7DA24F9D" w14:textId="77777777" w:rsidR="004E0038" w:rsidRPr="00E371E1" w:rsidRDefault="004E0038" w:rsidP="00E371E1">
      <w:pPr>
        <w:pStyle w:val="NoSpacing"/>
        <w:jc w:val="center"/>
        <w:rPr>
          <w:rFonts w:ascii="Times New Roman" w:hAnsi="Times New Roman" w:cs="Times New Roman"/>
          <w:b/>
          <w:bCs/>
          <w:sz w:val="24"/>
          <w:szCs w:val="24"/>
        </w:rPr>
      </w:pPr>
    </w:p>
    <w:p w14:paraId="2A0847BD" w14:textId="1488D0A8" w:rsidR="00E44EFA" w:rsidRPr="00E371E1" w:rsidRDefault="003C3D71" w:rsidP="00E371E1">
      <w:pPr>
        <w:pStyle w:val="NoSpacing"/>
        <w:jc w:val="center"/>
        <w:rPr>
          <w:rFonts w:ascii="Times New Roman" w:hAnsi="Times New Roman" w:cs="Times New Roman"/>
          <w:b/>
          <w:bCs/>
          <w:sz w:val="24"/>
          <w:szCs w:val="24"/>
        </w:rPr>
      </w:pPr>
      <w:r w:rsidRPr="00E371E1">
        <w:rPr>
          <w:rFonts w:ascii="Times New Roman" w:hAnsi="Times New Roman" w:cs="Times New Roman"/>
          <w:b/>
          <w:bCs/>
          <w:sz w:val="24"/>
          <w:szCs w:val="24"/>
        </w:rPr>
        <w:t>OPINION</w:t>
      </w:r>
      <w:r>
        <w:rPr>
          <w:rFonts w:ascii="Times New Roman" w:hAnsi="Times New Roman" w:cs="Times New Roman"/>
          <w:b/>
          <w:bCs/>
          <w:sz w:val="24"/>
          <w:szCs w:val="24"/>
        </w:rPr>
        <w:t xml:space="preserve"> BY DR </w:t>
      </w:r>
      <w:r w:rsidR="00085F12">
        <w:rPr>
          <w:rFonts w:ascii="Times New Roman" w:hAnsi="Times New Roman" w:cs="Times New Roman"/>
          <w:b/>
          <w:bCs/>
          <w:sz w:val="24"/>
          <w:szCs w:val="24"/>
        </w:rPr>
        <w:t xml:space="preserve">AUSTEN MORGAN </w:t>
      </w:r>
    </w:p>
    <w:p w14:paraId="6A14E543" w14:textId="34A008B6" w:rsidR="00E44EFA" w:rsidRPr="00E371E1" w:rsidRDefault="00E44EFA" w:rsidP="00E371E1">
      <w:pPr>
        <w:pStyle w:val="NoSpacing"/>
        <w:jc w:val="center"/>
        <w:rPr>
          <w:rFonts w:ascii="Times New Roman" w:hAnsi="Times New Roman" w:cs="Times New Roman"/>
          <w:sz w:val="24"/>
          <w:szCs w:val="24"/>
        </w:rPr>
      </w:pPr>
      <w:r w:rsidRPr="00E371E1">
        <w:rPr>
          <w:rFonts w:ascii="Times New Roman" w:hAnsi="Times New Roman" w:cs="Times New Roman"/>
          <w:sz w:val="24"/>
          <w:szCs w:val="24"/>
        </w:rPr>
        <w:t>___________</w:t>
      </w:r>
    </w:p>
    <w:p w14:paraId="51F9C5F7" w14:textId="6B153CE1" w:rsidR="00E44EFA" w:rsidRPr="00E371E1" w:rsidRDefault="00E44EFA" w:rsidP="00E371E1">
      <w:pPr>
        <w:pStyle w:val="NoSpacing"/>
        <w:jc w:val="both"/>
        <w:rPr>
          <w:rFonts w:ascii="Times New Roman" w:hAnsi="Times New Roman" w:cs="Times New Roman"/>
          <w:sz w:val="24"/>
          <w:szCs w:val="24"/>
        </w:rPr>
      </w:pPr>
    </w:p>
    <w:p w14:paraId="28CD618D" w14:textId="77777777" w:rsidR="00593996" w:rsidRPr="00E371E1" w:rsidRDefault="00593996" w:rsidP="00E371E1">
      <w:pPr>
        <w:pStyle w:val="NoSpacing"/>
        <w:jc w:val="both"/>
        <w:rPr>
          <w:rFonts w:ascii="Times New Roman" w:hAnsi="Times New Roman" w:cs="Times New Roman"/>
          <w:sz w:val="24"/>
          <w:szCs w:val="24"/>
        </w:rPr>
      </w:pPr>
    </w:p>
    <w:p w14:paraId="11B764DE" w14:textId="69FC0F8F" w:rsidR="00703980" w:rsidRDefault="00593996"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I have been asked </w:t>
      </w:r>
      <w:r w:rsidR="00EA0122">
        <w:rPr>
          <w:rFonts w:ascii="Times New Roman" w:hAnsi="Times New Roman" w:cs="Times New Roman"/>
          <w:sz w:val="24"/>
          <w:szCs w:val="24"/>
        </w:rPr>
        <w:t xml:space="preserve">by the Malone House Group </w:t>
      </w:r>
      <w:r w:rsidRPr="00E371E1">
        <w:rPr>
          <w:rFonts w:ascii="Times New Roman" w:hAnsi="Times New Roman" w:cs="Times New Roman"/>
          <w:sz w:val="24"/>
          <w:szCs w:val="24"/>
        </w:rPr>
        <w:t xml:space="preserve">to </w:t>
      </w:r>
      <w:proofErr w:type="gramStart"/>
      <w:r w:rsidRPr="00E371E1">
        <w:rPr>
          <w:rFonts w:ascii="Times New Roman" w:hAnsi="Times New Roman" w:cs="Times New Roman"/>
          <w:sz w:val="24"/>
          <w:szCs w:val="24"/>
        </w:rPr>
        <w:t>advise</w:t>
      </w:r>
      <w:proofErr w:type="gramEnd"/>
      <w:r w:rsidRPr="00E371E1">
        <w:rPr>
          <w:rFonts w:ascii="Times New Roman" w:hAnsi="Times New Roman" w:cs="Times New Roman"/>
          <w:sz w:val="24"/>
          <w:szCs w:val="24"/>
        </w:rPr>
        <w:t xml:space="preserve"> on a human rights matter, </w:t>
      </w:r>
      <w:r w:rsidR="006505CD" w:rsidRPr="00E371E1">
        <w:rPr>
          <w:rFonts w:ascii="Times New Roman" w:hAnsi="Times New Roman" w:cs="Times New Roman"/>
          <w:sz w:val="24"/>
          <w:szCs w:val="24"/>
        </w:rPr>
        <w:t>regarding</w:t>
      </w:r>
      <w:r w:rsidRPr="00E371E1">
        <w:rPr>
          <w:rFonts w:ascii="Times New Roman" w:hAnsi="Times New Roman" w:cs="Times New Roman"/>
          <w:sz w:val="24"/>
          <w:szCs w:val="24"/>
        </w:rPr>
        <w:t xml:space="preserve"> Northern Ireland (‘NI’)</w:t>
      </w:r>
      <w:r w:rsidR="00433970" w:rsidRPr="00E371E1">
        <w:rPr>
          <w:rFonts w:ascii="Times New Roman" w:hAnsi="Times New Roman" w:cs="Times New Roman"/>
          <w:sz w:val="24"/>
          <w:szCs w:val="24"/>
        </w:rPr>
        <w:t xml:space="preserve"> as part of the United Kingdom (‘UK’)</w:t>
      </w:r>
      <w:r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993056" w:rsidRPr="00E371E1">
        <w:rPr>
          <w:rFonts w:ascii="Times New Roman" w:hAnsi="Times New Roman" w:cs="Times New Roman"/>
          <w:sz w:val="24"/>
          <w:szCs w:val="24"/>
        </w:rPr>
        <w:t xml:space="preserve">It concerns article 2 </w:t>
      </w:r>
      <w:r w:rsidR="00BE211B" w:rsidRPr="00E371E1">
        <w:rPr>
          <w:rFonts w:ascii="Times New Roman" w:hAnsi="Times New Roman" w:cs="Times New Roman"/>
          <w:sz w:val="24"/>
          <w:szCs w:val="24"/>
        </w:rPr>
        <w:t xml:space="preserve">substantive </w:t>
      </w:r>
      <w:r w:rsidR="00993056" w:rsidRPr="00E371E1">
        <w:rPr>
          <w:rFonts w:ascii="Times New Roman" w:hAnsi="Times New Roman" w:cs="Times New Roman"/>
          <w:sz w:val="24"/>
          <w:szCs w:val="24"/>
        </w:rPr>
        <w:t xml:space="preserve">(right to life), and </w:t>
      </w:r>
      <w:r w:rsidR="006505CD" w:rsidRPr="00E371E1">
        <w:rPr>
          <w:rFonts w:ascii="Times New Roman" w:hAnsi="Times New Roman" w:cs="Times New Roman"/>
          <w:sz w:val="24"/>
          <w:szCs w:val="24"/>
        </w:rPr>
        <w:t>the</w:t>
      </w:r>
      <w:r w:rsidR="00993056" w:rsidRPr="00E371E1">
        <w:rPr>
          <w:rFonts w:ascii="Times New Roman" w:hAnsi="Times New Roman" w:cs="Times New Roman"/>
          <w:sz w:val="24"/>
          <w:szCs w:val="24"/>
        </w:rPr>
        <w:t xml:space="preserve"> </w:t>
      </w:r>
      <w:r w:rsidR="0049202A" w:rsidRPr="00E371E1">
        <w:rPr>
          <w:rFonts w:ascii="Times New Roman" w:hAnsi="Times New Roman" w:cs="Times New Roman"/>
          <w:sz w:val="24"/>
          <w:szCs w:val="24"/>
        </w:rPr>
        <w:t xml:space="preserve">implied </w:t>
      </w:r>
      <w:r w:rsidR="00993056" w:rsidRPr="00E371E1">
        <w:rPr>
          <w:rFonts w:ascii="Times New Roman" w:hAnsi="Times New Roman" w:cs="Times New Roman"/>
          <w:sz w:val="24"/>
          <w:szCs w:val="24"/>
        </w:rPr>
        <w:t>procedural right (to an effective investigation</w:t>
      </w:r>
      <w:r w:rsidR="00BE211B"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433970" w:rsidRPr="00E371E1">
        <w:rPr>
          <w:rFonts w:ascii="Times New Roman" w:hAnsi="Times New Roman" w:cs="Times New Roman"/>
          <w:sz w:val="24"/>
          <w:szCs w:val="24"/>
        </w:rPr>
        <w:t>I refer to the European court of human rights, and its case law, as simply Strasbourg (unless it is necessary to specify)</w:t>
      </w:r>
      <w:r w:rsidR="00EF7A43" w:rsidRPr="00E371E1">
        <w:rPr>
          <w:rFonts w:ascii="Times New Roman" w:hAnsi="Times New Roman" w:cs="Times New Roman"/>
          <w:sz w:val="24"/>
          <w:szCs w:val="24"/>
        </w:rPr>
        <w:t>.</w:t>
      </w:r>
    </w:p>
    <w:p w14:paraId="4F42BF6D" w14:textId="77777777" w:rsidR="004629FA" w:rsidRPr="00E371E1" w:rsidRDefault="004629FA" w:rsidP="00E371E1">
      <w:pPr>
        <w:pStyle w:val="NoSpacing"/>
        <w:jc w:val="both"/>
        <w:rPr>
          <w:rFonts w:ascii="Times New Roman" w:hAnsi="Times New Roman" w:cs="Times New Roman"/>
          <w:sz w:val="24"/>
          <w:szCs w:val="24"/>
        </w:rPr>
      </w:pPr>
    </w:p>
    <w:p w14:paraId="4039172C" w14:textId="5AC3F13C" w:rsidR="00703980" w:rsidRPr="00E371E1" w:rsidRDefault="00703980" w:rsidP="00E371E1">
      <w:pPr>
        <w:pStyle w:val="NoSpacing"/>
        <w:jc w:val="both"/>
        <w:rPr>
          <w:rFonts w:ascii="Times New Roman" w:hAnsi="Times New Roman" w:cs="Times New Roman"/>
          <w:b/>
          <w:bCs/>
          <w:sz w:val="24"/>
          <w:szCs w:val="24"/>
        </w:rPr>
      </w:pPr>
      <w:r w:rsidRPr="00E371E1">
        <w:rPr>
          <w:rFonts w:ascii="Times New Roman" w:hAnsi="Times New Roman" w:cs="Times New Roman"/>
          <w:b/>
          <w:bCs/>
          <w:sz w:val="24"/>
          <w:szCs w:val="24"/>
        </w:rPr>
        <w:t>Introduction</w:t>
      </w:r>
    </w:p>
    <w:p w14:paraId="3B9E2D8B" w14:textId="1EBE5069" w:rsidR="00593996" w:rsidRPr="00E371E1" w:rsidRDefault="00593996" w:rsidP="00E371E1">
      <w:pPr>
        <w:pStyle w:val="NoSpacing"/>
        <w:jc w:val="both"/>
        <w:rPr>
          <w:rFonts w:ascii="Times New Roman" w:hAnsi="Times New Roman" w:cs="Times New Roman"/>
          <w:sz w:val="24"/>
          <w:szCs w:val="24"/>
        </w:rPr>
      </w:pPr>
    </w:p>
    <w:p w14:paraId="061F8CA9" w14:textId="64ADC0E8" w:rsidR="00593996" w:rsidRPr="00E371E1" w:rsidRDefault="00593996"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I am a barrister in private practice, in London and Belfast, and practi</w:t>
      </w:r>
      <w:r w:rsidR="00B51AA5">
        <w:rPr>
          <w:rFonts w:ascii="Times New Roman" w:hAnsi="Times New Roman" w:cs="Times New Roman"/>
          <w:sz w:val="24"/>
          <w:szCs w:val="24"/>
        </w:rPr>
        <w:t>c</w:t>
      </w:r>
      <w:r w:rsidRPr="00E371E1">
        <w:rPr>
          <w:rFonts w:ascii="Times New Roman" w:hAnsi="Times New Roman" w:cs="Times New Roman"/>
          <w:sz w:val="24"/>
          <w:szCs w:val="24"/>
        </w:rPr>
        <w:t>e from these chambers: 33 Bedford Row, London WC1R 4JH.</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I do a great deal of legal writing, including an </w:t>
      </w:r>
      <w:r w:rsidR="00917D69">
        <w:rPr>
          <w:rFonts w:ascii="Times New Roman" w:hAnsi="Times New Roman" w:cs="Times New Roman"/>
          <w:sz w:val="24"/>
          <w:szCs w:val="24"/>
        </w:rPr>
        <w:t xml:space="preserve">updated </w:t>
      </w:r>
      <w:r w:rsidRPr="00E371E1">
        <w:rPr>
          <w:rFonts w:ascii="Times New Roman" w:hAnsi="Times New Roman" w:cs="Times New Roman"/>
          <w:sz w:val="24"/>
          <w:szCs w:val="24"/>
        </w:rPr>
        <w:t>article for Thomson</w:t>
      </w:r>
      <w:r w:rsidR="00703980" w:rsidRPr="00E371E1">
        <w:rPr>
          <w:rFonts w:ascii="Times New Roman" w:hAnsi="Times New Roman" w:cs="Times New Roman"/>
          <w:sz w:val="24"/>
          <w:szCs w:val="24"/>
        </w:rPr>
        <w:t xml:space="preserve"> </w:t>
      </w:r>
      <w:r w:rsidRPr="00E371E1">
        <w:rPr>
          <w:rFonts w:ascii="Times New Roman" w:hAnsi="Times New Roman" w:cs="Times New Roman"/>
          <w:sz w:val="24"/>
          <w:szCs w:val="24"/>
        </w:rPr>
        <w:t xml:space="preserve">Reuters on the above subject: </w:t>
      </w:r>
      <w:hyperlink r:id="rId10" w:history="1">
        <w:r w:rsidRPr="00E371E1">
          <w:rPr>
            <w:rStyle w:val="Hyperlink"/>
            <w:rFonts w:ascii="Times New Roman" w:hAnsi="Times New Roman" w:cs="Times New Roman"/>
            <w:sz w:val="24"/>
            <w:szCs w:val="24"/>
          </w:rPr>
          <w:t>https://www.austenmorgan.com/wp-content/uploads/2019/07/Duty-to-undertake-effective-investigation.pdf-04.07.2019.pdf</w:t>
        </w:r>
      </w:hyperlink>
      <w:r w:rsidRPr="00E371E1">
        <w:rPr>
          <w:rFonts w:ascii="Times New Roman" w:hAnsi="Times New Roman" w:cs="Times New Roman"/>
          <w:sz w:val="24"/>
          <w:szCs w:val="24"/>
        </w:rPr>
        <w:t>.</w:t>
      </w:r>
    </w:p>
    <w:p w14:paraId="1194D290" w14:textId="77777777" w:rsidR="00593996" w:rsidRPr="00E371E1" w:rsidRDefault="00593996" w:rsidP="00E371E1">
      <w:pPr>
        <w:pStyle w:val="NoSpacing"/>
        <w:jc w:val="both"/>
        <w:rPr>
          <w:rFonts w:ascii="Times New Roman" w:hAnsi="Times New Roman" w:cs="Times New Roman"/>
          <w:sz w:val="24"/>
          <w:szCs w:val="24"/>
        </w:rPr>
      </w:pPr>
    </w:p>
    <w:p w14:paraId="46E9B7BF" w14:textId="30602A3F" w:rsidR="00593996" w:rsidRPr="00E371E1" w:rsidRDefault="00593996"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I am </w:t>
      </w:r>
      <w:r w:rsidR="00BE0A7A" w:rsidRPr="00E371E1">
        <w:rPr>
          <w:rFonts w:ascii="Times New Roman" w:hAnsi="Times New Roman" w:cs="Times New Roman"/>
          <w:sz w:val="24"/>
          <w:szCs w:val="24"/>
        </w:rPr>
        <w:t>further</w:t>
      </w:r>
      <w:r w:rsidRPr="00E371E1">
        <w:rPr>
          <w:rFonts w:ascii="Times New Roman" w:hAnsi="Times New Roman" w:cs="Times New Roman"/>
          <w:sz w:val="24"/>
          <w:szCs w:val="24"/>
        </w:rPr>
        <w:t xml:space="preserve">: the author of </w:t>
      </w:r>
      <w:r w:rsidRPr="00E371E1">
        <w:rPr>
          <w:rFonts w:ascii="Times New Roman" w:hAnsi="Times New Roman" w:cs="Times New Roman"/>
          <w:i/>
          <w:iCs/>
          <w:sz w:val="24"/>
          <w:szCs w:val="24"/>
        </w:rPr>
        <w:t xml:space="preserve">Tony Blair and the IRA: the ‘on the runs’ scandal, </w:t>
      </w:r>
      <w:r w:rsidRPr="00E371E1">
        <w:rPr>
          <w:rFonts w:ascii="Times New Roman" w:hAnsi="Times New Roman" w:cs="Times New Roman"/>
          <w:sz w:val="24"/>
          <w:szCs w:val="24"/>
        </w:rPr>
        <w:t xml:space="preserve">London 2016; and a contributor to Jeffrey Dudgeon, ed., </w:t>
      </w:r>
      <w:r w:rsidRPr="00E371E1">
        <w:rPr>
          <w:rFonts w:ascii="Times New Roman" w:hAnsi="Times New Roman" w:cs="Times New Roman"/>
          <w:i/>
          <w:iCs/>
          <w:sz w:val="24"/>
          <w:szCs w:val="24"/>
        </w:rPr>
        <w:t>Legacy: what to do about the past in Northern Ireland</w:t>
      </w:r>
      <w:proofErr w:type="gramStart"/>
      <w:r w:rsidRPr="00E371E1">
        <w:rPr>
          <w:rFonts w:ascii="Times New Roman" w:hAnsi="Times New Roman" w:cs="Times New Roman"/>
          <w:i/>
          <w:iCs/>
          <w:sz w:val="24"/>
          <w:szCs w:val="24"/>
        </w:rPr>
        <w:t>?</w:t>
      </w:r>
      <w:r w:rsidRPr="00E371E1">
        <w:rPr>
          <w:rFonts w:ascii="Times New Roman" w:hAnsi="Times New Roman" w:cs="Times New Roman"/>
          <w:sz w:val="24"/>
          <w:szCs w:val="24"/>
        </w:rPr>
        <w:t>,</w:t>
      </w:r>
      <w:proofErr w:type="gramEnd"/>
      <w:r w:rsidRPr="00E371E1">
        <w:rPr>
          <w:rFonts w:ascii="Times New Roman" w:hAnsi="Times New Roman" w:cs="Times New Roman"/>
          <w:sz w:val="24"/>
          <w:szCs w:val="24"/>
        </w:rPr>
        <w:t xml:space="preserve"> Belfast 2018.</w:t>
      </w:r>
      <w:r w:rsidR="00703980" w:rsidRPr="00E371E1">
        <w:rPr>
          <w:rStyle w:val="FootnoteReference"/>
          <w:rFonts w:ascii="Times New Roman" w:hAnsi="Times New Roman" w:cs="Times New Roman"/>
          <w:sz w:val="24"/>
          <w:szCs w:val="24"/>
        </w:rPr>
        <w:footnoteReference w:id="1"/>
      </w:r>
    </w:p>
    <w:p w14:paraId="04C44D81" w14:textId="77777777" w:rsidR="0049202A" w:rsidRPr="00E371E1" w:rsidRDefault="0049202A" w:rsidP="00E371E1">
      <w:pPr>
        <w:pStyle w:val="NoSpacing"/>
        <w:jc w:val="both"/>
        <w:rPr>
          <w:rFonts w:ascii="Times New Roman" w:hAnsi="Times New Roman" w:cs="Times New Roman"/>
          <w:sz w:val="24"/>
          <w:szCs w:val="24"/>
        </w:rPr>
      </w:pPr>
    </w:p>
    <w:p w14:paraId="74417ABD" w14:textId="788C0071" w:rsidR="0049202A" w:rsidRDefault="0049202A"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It is my view in brief that: (1) article 2 procedural, from 2001, is </w:t>
      </w:r>
      <w:r w:rsidR="00F75345">
        <w:rPr>
          <w:rFonts w:ascii="Times New Roman" w:hAnsi="Times New Roman" w:cs="Times New Roman"/>
          <w:sz w:val="24"/>
          <w:szCs w:val="24"/>
        </w:rPr>
        <w:t xml:space="preserve">unfair </w:t>
      </w:r>
      <w:r w:rsidRPr="00E371E1">
        <w:rPr>
          <w:rFonts w:ascii="Times New Roman" w:hAnsi="Times New Roman" w:cs="Times New Roman"/>
          <w:sz w:val="24"/>
          <w:szCs w:val="24"/>
        </w:rPr>
        <w:t xml:space="preserve">retrospective law; (2) Strasbourg appears to have forgotten about article 2 substantive, and the fate of the right to life in NI; (3) in the line of cases, starting with </w:t>
      </w:r>
      <w:r w:rsidRPr="00E371E1">
        <w:rPr>
          <w:rFonts w:ascii="Times New Roman" w:hAnsi="Times New Roman" w:cs="Times New Roman"/>
          <w:i/>
          <w:iCs/>
          <w:sz w:val="24"/>
          <w:szCs w:val="24"/>
        </w:rPr>
        <w:t>Jordan</w:t>
      </w:r>
      <w:r w:rsidRPr="00E371E1">
        <w:rPr>
          <w:rFonts w:ascii="Times New Roman" w:hAnsi="Times New Roman" w:cs="Times New Roman"/>
          <w:sz w:val="24"/>
          <w:szCs w:val="24"/>
        </w:rPr>
        <w:t xml:space="preserve">, Strasbourg recognized </w:t>
      </w:r>
      <w:r w:rsidR="00EF7A43" w:rsidRPr="00E371E1">
        <w:rPr>
          <w:rFonts w:ascii="Times New Roman" w:hAnsi="Times New Roman" w:cs="Times New Roman"/>
          <w:sz w:val="24"/>
          <w:szCs w:val="24"/>
        </w:rPr>
        <w:t>only one category of victims</w:t>
      </w:r>
      <w:r w:rsidR="00F75345">
        <w:rPr>
          <w:rFonts w:ascii="Times New Roman" w:hAnsi="Times New Roman" w:cs="Times New Roman"/>
          <w:sz w:val="24"/>
          <w:szCs w:val="24"/>
        </w:rPr>
        <w:t>, thereby excluding all others</w:t>
      </w:r>
      <w:r w:rsidRPr="00E371E1">
        <w:rPr>
          <w:rFonts w:ascii="Times New Roman" w:hAnsi="Times New Roman" w:cs="Times New Roman"/>
          <w:sz w:val="24"/>
          <w:szCs w:val="24"/>
        </w:rPr>
        <w:t>; (4) the overall effect of article 2 procedural in NI has been lawfar</w:t>
      </w:r>
      <w:r w:rsidR="00EE0F34">
        <w:rPr>
          <w:rFonts w:ascii="Times New Roman" w:hAnsi="Times New Roman" w:cs="Times New Roman"/>
          <w:sz w:val="24"/>
          <w:szCs w:val="24"/>
        </w:rPr>
        <w:t xml:space="preserve">e </w:t>
      </w:r>
      <w:r w:rsidR="00EE0F34" w:rsidRPr="00EE0F34">
        <w:rPr>
          <w:rFonts w:ascii="Times New Roman" w:hAnsi="Times New Roman" w:cs="Times New Roman"/>
          <w:sz w:val="24"/>
          <w:szCs w:val="24"/>
        </w:rPr>
        <w:t xml:space="preserve">(a new concept), </w:t>
      </w:r>
      <w:r w:rsidRPr="00E371E1">
        <w:rPr>
          <w:rFonts w:ascii="Times New Roman" w:hAnsi="Times New Roman" w:cs="Times New Roman"/>
          <w:sz w:val="24"/>
          <w:szCs w:val="24"/>
        </w:rPr>
        <w:t xml:space="preserve">the continuation of the troubles </w:t>
      </w:r>
      <w:r w:rsidR="009B4EA3">
        <w:rPr>
          <w:rFonts w:ascii="Times New Roman" w:hAnsi="Times New Roman" w:cs="Times New Roman"/>
          <w:sz w:val="24"/>
          <w:szCs w:val="24"/>
        </w:rPr>
        <w:t>through the courts</w:t>
      </w:r>
      <w:r w:rsidR="00EE0F34">
        <w:rPr>
          <w:rFonts w:ascii="Times New Roman" w:hAnsi="Times New Roman" w:cs="Times New Roman"/>
          <w:sz w:val="24"/>
          <w:szCs w:val="24"/>
        </w:rPr>
        <w:t xml:space="preserve"> </w:t>
      </w:r>
      <w:r w:rsidR="00EE0F34" w:rsidRPr="00EE0F34">
        <w:rPr>
          <w:rFonts w:ascii="Times New Roman" w:hAnsi="Times New Roman" w:cs="Times New Roman"/>
          <w:sz w:val="24"/>
          <w:szCs w:val="24"/>
        </w:rPr>
        <w:t>– and frustrating the process of reconcil</w:t>
      </w:r>
      <w:r w:rsidR="00EE0F34">
        <w:rPr>
          <w:rFonts w:ascii="Times New Roman" w:hAnsi="Times New Roman" w:cs="Times New Roman"/>
          <w:sz w:val="24"/>
          <w:szCs w:val="24"/>
        </w:rPr>
        <w:t>i</w:t>
      </w:r>
      <w:r w:rsidR="00EE0F34" w:rsidRPr="00EE0F34">
        <w:rPr>
          <w:rFonts w:ascii="Times New Roman" w:hAnsi="Times New Roman" w:cs="Times New Roman"/>
          <w:sz w:val="24"/>
          <w:szCs w:val="24"/>
        </w:rPr>
        <w:t>ation.</w:t>
      </w:r>
    </w:p>
    <w:p w14:paraId="6D5FB25F" w14:textId="77777777" w:rsidR="00EE0F34" w:rsidRDefault="00EE0F34" w:rsidP="00E371E1">
      <w:pPr>
        <w:pStyle w:val="NoSpacing"/>
        <w:jc w:val="both"/>
        <w:rPr>
          <w:rFonts w:ascii="Times New Roman" w:hAnsi="Times New Roman" w:cs="Times New Roman"/>
          <w:sz w:val="24"/>
          <w:szCs w:val="24"/>
        </w:rPr>
      </w:pPr>
    </w:p>
    <w:p w14:paraId="2F78F716" w14:textId="0BFB6EE9" w:rsidR="00703980" w:rsidRPr="00E371E1" w:rsidRDefault="00433970"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It is further my view that</w:t>
      </w:r>
      <w:r w:rsidR="00703980" w:rsidRPr="00E371E1">
        <w:rPr>
          <w:rFonts w:ascii="Times New Roman" w:hAnsi="Times New Roman" w:cs="Times New Roman"/>
          <w:sz w:val="24"/>
          <w:szCs w:val="24"/>
        </w:rPr>
        <w:t xml:space="preserve"> (</w:t>
      </w:r>
      <w:r w:rsidR="0049202A" w:rsidRPr="00E371E1">
        <w:rPr>
          <w:rFonts w:ascii="Times New Roman" w:hAnsi="Times New Roman" w:cs="Times New Roman"/>
          <w:sz w:val="24"/>
          <w:szCs w:val="24"/>
        </w:rPr>
        <w:t>5</w:t>
      </w:r>
      <w:r w:rsidR="00703980" w:rsidRPr="00E371E1">
        <w:rPr>
          <w:rFonts w:ascii="Times New Roman" w:hAnsi="Times New Roman" w:cs="Times New Roman"/>
          <w:sz w:val="24"/>
          <w:szCs w:val="24"/>
        </w:rPr>
        <w:t>) Strasbourg seems never to have appreciated that article 2 procedural, under United Kingdom (‘UK’) law</w:t>
      </w:r>
      <w:r w:rsidR="00993056" w:rsidRPr="00E371E1">
        <w:rPr>
          <w:rFonts w:ascii="Times New Roman" w:hAnsi="Times New Roman" w:cs="Times New Roman"/>
          <w:sz w:val="24"/>
          <w:szCs w:val="24"/>
        </w:rPr>
        <w:t xml:space="preserve">, </w:t>
      </w:r>
      <w:r w:rsidR="00EF7A43" w:rsidRPr="00E371E1">
        <w:rPr>
          <w:rFonts w:ascii="Times New Roman" w:hAnsi="Times New Roman" w:cs="Times New Roman"/>
          <w:sz w:val="24"/>
          <w:szCs w:val="24"/>
        </w:rPr>
        <w:t>remains inapp</w:t>
      </w:r>
      <w:r w:rsidR="00993056" w:rsidRPr="00E371E1">
        <w:rPr>
          <w:rFonts w:ascii="Times New Roman" w:hAnsi="Times New Roman" w:cs="Times New Roman"/>
          <w:sz w:val="24"/>
          <w:szCs w:val="24"/>
        </w:rPr>
        <w:t xml:space="preserve">licable to violent deaths </w:t>
      </w:r>
      <w:r w:rsidR="003B0CA4" w:rsidRPr="00E371E1">
        <w:rPr>
          <w:rFonts w:ascii="Times New Roman" w:hAnsi="Times New Roman" w:cs="Times New Roman"/>
          <w:sz w:val="24"/>
          <w:szCs w:val="24"/>
        </w:rPr>
        <w:t xml:space="preserve">(including </w:t>
      </w:r>
      <w:r w:rsidR="00993056" w:rsidRPr="00E371E1">
        <w:rPr>
          <w:rFonts w:ascii="Times New Roman" w:hAnsi="Times New Roman" w:cs="Times New Roman"/>
          <w:sz w:val="24"/>
          <w:szCs w:val="24"/>
        </w:rPr>
        <w:t>in NI</w:t>
      </w:r>
      <w:r w:rsidR="003B0CA4" w:rsidRPr="00E371E1">
        <w:rPr>
          <w:rFonts w:ascii="Times New Roman" w:hAnsi="Times New Roman" w:cs="Times New Roman"/>
          <w:sz w:val="24"/>
          <w:szCs w:val="24"/>
        </w:rPr>
        <w:t>)</w:t>
      </w:r>
      <w:r w:rsidR="00993056" w:rsidRPr="00E371E1">
        <w:rPr>
          <w:rFonts w:ascii="Times New Roman" w:hAnsi="Times New Roman" w:cs="Times New Roman"/>
          <w:sz w:val="24"/>
          <w:szCs w:val="24"/>
        </w:rPr>
        <w:t xml:space="preserve"> before 2 October 2000.</w:t>
      </w:r>
    </w:p>
    <w:p w14:paraId="545A85C8" w14:textId="77777777" w:rsidR="00BE211B" w:rsidRPr="00E371E1" w:rsidRDefault="00BE211B" w:rsidP="00E371E1">
      <w:pPr>
        <w:pStyle w:val="NoSpacing"/>
        <w:jc w:val="both"/>
        <w:rPr>
          <w:rFonts w:ascii="Times New Roman" w:hAnsi="Times New Roman" w:cs="Times New Roman"/>
          <w:sz w:val="24"/>
          <w:szCs w:val="24"/>
        </w:rPr>
      </w:pPr>
    </w:p>
    <w:p w14:paraId="61FAEA82" w14:textId="77777777" w:rsidR="00BE211B" w:rsidRPr="00E371E1" w:rsidRDefault="00BE211B" w:rsidP="00E371E1">
      <w:pPr>
        <w:pStyle w:val="NoSpacing"/>
        <w:jc w:val="both"/>
        <w:rPr>
          <w:rFonts w:ascii="Times New Roman" w:hAnsi="Times New Roman" w:cs="Times New Roman"/>
          <w:b/>
          <w:bCs/>
          <w:sz w:val="24"/>
          <w:szCs w:val="24"/>
        </w:rPr>
      </w:pPr>
      <w:r w:rsidRPr="00E371E1">
        <w:rPr>
          <w:rFonts w:ascii="Times New Roman" w:hAnsi="Times New Roman" w:cs="Times New Roman"/>
          <w:b/>
          <w:bCs/>
          <w:sz w:val="24"/>
          <w:szCs w:val="24"/>
        </w:rPr>
        <w:t>The Northern Ireland Troubles</w:t>
      </w:r>
    </w:p>
    <w:p w14:paraId="72035590" w14:textId="77777777" w:rsidR="00BE211B" w:rsidRPr="00E371E1" w:rsidRDefault="00BE211B" w:rsidP="00E371E1">
      <w:pPr>
        <w:pStyle w:val="NoSpacing"/>
        <w:jc w:val="both"/>
        <w:rPr>
          <w:rFonts w:ascii="Times New Roman" w:hAnsi="Times New Roman" w:cs="Times New Roman"/>
          <w:sz w:val="24"/>
          <w:szCs w:val="24"/>
        </w:rPr>
      </w:pPr>
    </w:p>
    <w:p w14:paraId="112D335B" w14:textId="203A085E" w:rsidR="00BE0A7A" w:rsidRPr="00E371E1" w:rsidRDefault="00BE211B" w:rsidP="00E371E1">
      <w:pPr>
        <w:pStyle w:val="NoSpacing"/>
        <w:jc w:val="both"/>
        <w:rPr>
          <w:rFonts w:ascii="Times New Roman" w:hAnsi="Times New Roman" w:cs="Times New Roman"/>
          <w:i/>
          <w:iCs/>
          <w:sz w:val="24"/>
          <w:szCs w:val="24"/>
        </w:rPr>
      </w:pPr>
      <w:r w:rsidRPr="00E371E1">
        <w:rPr>
          <w:rFonts w:ascii="Times New Roman" w:hAnsi="Times New Roman" w:cs="Times New Roman"/>
          <w:sz w:val="24"/>
          <w:szCs w:val="24"/>
        </w:rPr>
        <w:t>The Northern Ireland troubles – a significant period in United Kingdom /Irish relations – are dated from 1968 to 1998.</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The army’s </w:t>
      </w:r>
      <w:r w:rsidR="00EE0F34">
        <w:rPr>
          <w:rFonts w:ascii="Times New Roman" w:hAnsi="Times New Roman" w:cs="Times New Roman"/>
          <w:sz w:val="24"/>
          <w:szCs w:val="24"/>
        </w:rPr>
        <w:t>O</w:t>
      </w:r>
      <w:r w:rsidRPr="00E371E1">
        <w:rPr>
          <w:rFonts w:ascii="Times New Roman" w:hAnsi="Times New Roman" w:cs="Times New Roman"/>
          <w:sz w:val="24"/>
          <w:szCs w:val="24"/>
        </w:rPr>
        <w:t xml:space="preserve">peration </w:t>
      </w:r>
      <w:r w:rsidR="009B4EA3">
        <w:rPr>
          <w:rFonts w:ascii="Times New Roman" w:hAnsi="Times New Roman" w:cs="Times New Roman"/>
          <w:sz w:val="24"/>
          <w:szCs w:val="24"/>
        </w:rPr>
        <w:t>B</w:t>
      </w:r>
      <w:r w:rsidRPr="00E371E1">
        <w:rPr>
          <w:rFonts w:ascii="Times New Roman" w:hAnsi="Times New Roman" w:cs="Times New Roman"/>
          <w:sz w:val="24"/>
          <w:szCs w:val="24"/>
        </w:rPr>
        <w:t>anner (the longest in its history) was from: 14 August 1969 to 31 July 2007.</w:t>
      </w:r>
    </w:p>
    <w:p w14:paraId="45135D02" w14:textId="77777777" w:rsidR="00BE0A7A" w:rsidRPr="00E371E1" w:rsidRDefault="00BE0A7A" w:rsidP="00E371E1">
      <w:pPr>
        <w:pStyle w:val="NoSpacing"/>
        <w:jc w:val="both"/>
        <w:rPr>
          <w:rFonts w:ascii="Times New Roman" w:hAnsi="Times New Roman" w:cs="Times New Roman"/>
          <w:i/>
          <w:iCs/>
          <w:sz w:val="24"/>
          <w:szCs w:val="24"/>
        </w:rPr>
      </w:pPr>
    </w:p>
    <w:p w14:paraId="49DCB27D" w14:textId="77777777" w:rsidR="002F2AA2" w:rsidRDefault="002F2AA2" w:rsidP="00E371E1">
      <w:pPr>
        <w:pStyle w:val="NoSpacing"/>
        <w:jc w:val="both"/>
        <w:rPr>
          <w:rFonts w:ascii="Times New Roman" w:hAnsi="Times New Roman" w:cs="Times New Roman"/>
          <w:i/>
          <w:iCs/>
          <w:sz w:val="24"/>
          <w:szCs w:val="24"/>
        </w:rPr>
      </w:pPr>
    </w:p>
    <w:p w14:paraId="32B849BE" w14:textId="77777777" w:rsidR="002F2AA2" w:rsidRDefault="002F2AA2" w:rsidP="00E371E1">
      <w:pPr>
        <w:pStyle w:val="NoSpacing"/>
        <w:jc w:val="both"/>
        <w:rPr>
          <w:rFonts w:ascii="Times New Roman" w:hAnsi="Times New Roman" w:cs="Times New Roman"/>
          <w:i/>
          <w:iCs/>
          <w:sz w:val="24"/>
          <w:szCs w:val="24"/>
        </w:rPr>
      </w:pPr>
    </w:p>
    <w:p w14:paraId="62F1B9D0" w14:textId="77777777" w:rsidR="002F2AA2" w:rsidRDefault="002F2AA2" w:rsidP="00E371E1">
      <w:pPr>
        <w:pStyle w:val="NoSpacing"/>
        <w:jc w:val="both"/>
        <w:rPr>
          <w:rFonts w:ascii="Times New Roman" w:hAnsi="Times New Roman" w:cs="Times New Roman"/>
          <w:i/>
          <w:iCs/>
          <w:sz w:val="24"/>
          <w:szCs w:val="24"/>
        </w:rPr>
      </w:pPr>
    </w:p>
    <w:p w14:paraId="3B9331D6" w14:textId="0E17E0AF" w:rsidR="00BE211B" w:rsidRPr="00E371E1" w:rsidRDefault="00BE211B" w:rsidP="00E371E1">
      <w:pPr>
        <w:pStyle w:val="NoSpacing"/>
        <w:jc w:val="both"/>
        <w:rPr>
          <w:rFonts w:ascii="Times New Roman" w:hAnsi="Times New Roman" w:cs="Times New Roman"/>
          <w:i/>
          <w:iCs/>
          <w:sz w:val="24"/>
          <w:szCs w:val="24"/>
        </w:rPr>
      </w:pPr>
      <w:r w:rsidRPr="00E371E1">
        <w:rPr>
          <w:rFonts w:ascii="Times New Roman" w:hAnsi="Times New Roman" w:cs="Times New Roman"/>
          <w:i/>
          <w:iCs/>
          <w:sz w:val="24"/>
          <w:szCs w:val="24"/>
        </w:rPr>
        <w:t xml:space="preserve">Who killed </w:t>
      </w:r>
      <w:proofErr w:type="gramStart"/>
      <w:r w:rsidRPr="00E371E1">
        <w:rPr>
          <w:rFonts w:ascii="Times New Roman" w:hAnsi="Times New Roman" w:cs="Times New Roman"/>
          <w:i/>
          <w:iCs/>
          <w:sz w:val="24"/>
          <w:szCs w:val="24"/>
        </w:rPr>
        <w:t>Whom</w:t>
      </w:r>
      <w:proofErr w:type="gramEnd"/>
      <w:r w:rsidRPr="00E371E1">
        <w:rPr>
          <w:rFonts w:ascii="Times New Roman" w:hAnsi="Times New Roman" w:cs="Times New Roman"/>
          <w:i/>
          <w:iCs/>
          <w:sz w:val="24"/>
          <w:szCs w:val="24"/>
        </w:rPr>
        <w:t>?</w:t>
      </w:r>
    </w:p>
    <w:p w14:paraId="18EBB836" w14:textId="77777777" w:rsidR="00BE211B" w:rsidRPr="00E371E1" w:rsidRDefault="00BE211B" w:rsidP="00E371E1">
      <w:pPr>
        <w:pStyle w:val="NoSpacing"/>
        <w:jc w:val="both"/>
        <w:rPr>
          <w:rFonts w:ascii="Times New Roman" w:hAnsi="Times New Roman" w:cs="Times New Roman"/>
          <w:sz w:val="24"/>
          <w:szCs w:val="24"/>
        </w:rPr>
      </w:pPr>
    </w:p>
    <w:p w14:paraId="26069E73" w14:textId="525834EF" w:rsidR="00BE211B" w:rsidRPr="00E371E1" w:rsidRDefault="00BE211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One may ask: who killed whom in those approximately three decades?</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It might be thought that Lord Saville’s report, following his £200m inquiry in 1998 to 2010, into </w:t>
      </w:r>
      <w:r w:rsidR="009B4EA3">
        <w:rPr>
          <w:rFonts w:ascii="Times New Roman" w:hAnsi="Times New Roman" w:cs="Times New Roman"/>
          <w:sz w:val="24"/>
          <w:szCs w:val="24"/>
        </w:rPr>
        <w:t>B</w:t>
      </w:r>
      <w:r w:rsidRPr="00E371E1">
        <w:rPr>
          <w:rFonts w:ascii="Times New Roman" w:hAnsi="Times New Roman" w:cs="Times New Roman"/>
          <w:sz w:val="24"/>
          <w:szCs w:val="24"/>
        </w:rPr>
        <w:t xml:space="preserve">loody Sunday in Derry/Londonderry on 30 January 1972 – when soldiers killed 13 demonstrators </w:t>
      </w:r>
      <w:r w:rsidR="004103D1">
        <w:rPr>
          <w:rFonts w:ascii="Times New Roman" w:hAnsi="Times New Roman" w:cs="Times New Roman"/>
          <w:sz w:val="24"/>
          <w:szCs w:val="24"/>
        </w:rPr>
        <w:t>–</w:t>
      </w:r>
      <w:r w:rsidRPr="00E371E1">
        <w:rPr>
          <w:rFonts w:ascii="Times New Roman" w:hAnsi="Times New Roman" w:cs="Times New Roman"/>
          <w:sz w:val="24"/>
          <w:szCs w:val="24"/>
        </w:rPr>
        <w:t xml:space="preserve"> , would be prototypical of the conflict.</w:t>
      </w:r>
      <w:r w:rsidR="003B0CA4" w:rsidRPr="00E371E1">
        <w:rPr>
          <w:rStyle w:val="FootnoteReference"/>
          <w:rFonts w:ascii="Times New Roman" w:hAnsi="Times New Roman" w:cs="Times New Roman"/>
          <w:sz w:val="24"/>
          <w:szCs w:val="24"/>
        </w:rPr>
        <w:footnoteReference w:id="2"/>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That is not so.</w:t>
      </w:r>
    </w:p>
    <w:p w14:paraId="66F96968" w14:textId="77777777" w:rsidR="00BE211B" w:rsidRPr="00E371E1" w:rsidRDefault="00BE211B" w:rsidP="00E371E1">
      <w:pPr>
        <w:pStyle w:val="NoSpacing"/>
        <w:jc w:val="both"/>
        <w:rPr>
          <w:rFonts w:ascii="Times New Roman" w:hAnsi="Times New Roman" w:cs="Times New Roman"/>
          <w:sz w:val="24"/>
          <w:szCs w:val="24"/>
        </w:rPr>
      </w:pPr>
    </w:p>
    <w:p w14:paraId="094DAD80" w14:textId="24618A5F" w:rsidR="00BE211B" w:rsidRPr="00E371E1" w:rsidRDefault="00BE211B" w:rsidP="00E371E1">
      <w:pPr>
        <w:pStyle w:val="NoSpacing"/>
        <w:jc w:val="both"/>
        <w:rPr>
          <w:rFonts w:ascii="Times New Roman" w:hAnsi="Times New Roman" w:cs="Times New Roman"/>
          <w:sz w:val="24"/>
          <w:szCs w:val="24"/>
        </w:rPr>
      </w:pPr>
      <w:bookmarkStart w:id="1" w:name="_Hlk32670028"/>
      <w:r w:rsidRPr="00E371E1">
        <w:rPr>
          <w:rFonts w:ascii="Times New Roman" w:hAnsi="Times New Roman" w:cs="Times New Roman"/>
          <w:sz w:val="24"/>
          <w:szCs w:val="24"/>
        </w:rPr>
        <w:t xml:space="preserve">There are inadequate official statistics, and the best source is a private venture by journalists: </w:t>
      </w:r>
      <w:r w:rsidRPr="009B4EA3">
        <w:rPr>
          <w:rFonts w:ascii="Times New Roman" w:hAnsi="Times New Roman" w:cs="Times New Roman"/>
          <w:bCs/>
          <w:sz w:val="24"/>
          <w:szCs w:val="24"/>
        </w:rPr>
        <w:t xml:space="preserve">David McKittrick &amp; </w:t>
      </w:r>
      <w:r w:rsidR="00B51AA5">
        <w:rPr>
          <w:rFonts w:ascii="Times New Roman" w:hAnsi="Times New Roman" w:cs="Times New Roman"/>
          <w:bCs/>
          <w:sz w:val="24"/>
          <w:szCs w:val="24"/>
        </w:rPr>
        <w:t>o</w:t>
      </w:r>
      <w:r w:rsidRPr="009B4EA3">
        <w:rPr>
          <w:rFonts w:ascii="Times New Roman" w:hAnsi="Times New Roman" w:cs="Times New Roman"/>
          <w:bCs/>
          <w:sz w:val="24"/>
          <w:szCs w:val="24"/>
        </w:rPr>
        <w:t xml:space="preserve">thers, eds., </w:t>
      </w:r>
      <w:r w:rsidRPr="009B4EA3">
        <w:rPr>
          <w:rFonts w:ascii="Times New Roman" w:hAnsi="Times New Roman" w:cs="Times New Roman"/>
          <w:bCs/>
          <w:i/>
          <w:iCs/>
          <w:sz w:val="24"/>
          <w:szCs w:val="24"/>
        </w:rPr>
        <w:t xml:space="preserve">Lost Lives: the stories of the men, women and children who died </w:t>
      </w:r>
      <w:r w:rsidR="006505CD" w:rsidRPr="009B4EA3">
        <w:rPr>
          <w:rFonts w:ascii="Times New Roman" w:hAnsi="Times New Roman" w:cs="Times New Roman"/>
          <w:bCs/>
          <w:i/>
          <w:iCs/>
          <w:sz w:val="24"/>
          <w:szCs w:val="24"/>
        </w:rPr>
        <w:t>because of</w:t>
      </w:r>
      <w:r w:rsidRPr="009B4EA3">
        <w:rPr>
          <w:rFonts w:ascii="Times New Roman" w:hAnsi="Times New Roman" w:cs="Times New Roman"/>
          <w:bCs/>
          <w:i/>
          <w:iCs/>
          <w:sz w:val="24"/>
          <w:szCs w:val="24"/>
        </w:rPr>
        <w:t xml:space="preserve"> the Northern Ireland troubles, </w:t>
      </w:r>
      <w:r w:rsidRPr="009B4EA3">
        <w:rPr>
          <w:rFonts w:ascii="Times New Roman" w:hAnsi="Times New Roman" w:cs="Times New Roman"/>
          <w:bCs/>
          <w:sz w:val="24"/>
          <w:szCs w:val="24"/>
        </w:rPr>
        <w:t>Edinburgh &amp; London 2007</w:t>
      </w:r>
      <w:r w:rsidRPr="009B4EA3">
        <w:rPr>
          <w:rFonts w:ascii="Times New Roman" w:hAnsi="Times New Roman" w:cs="Times New Roman"/>
          <w:sz w:val="24"/>
          <w:szCs w:val="24"/>
        </w:rPr>
        <w:t>.</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The authorities </w:t>
      </w:r>
      <w:bookmarkEnd w:id="1"/>
      <w:r w:rsidRPr="00E371E1">
        <w:rPr>
          <w:rFonts w:ascii="Times New Roman" w:hAnsi="Times New Roman" w:cs="Times New Roman"/>
          <w:sz w:val="24"/>
          <w:szCs w:val="24"/>
        </w:rPr>
        <w:t>now use this volume of nearly seventeen hundred pages.</w:t>
      </w:r>
    </w:p>
    <w:p w14:paraId="0405BE80" w14:textId="77777777" w:rsidR="00BE211B" w:rsidRPr="00E371E1" w:rsidRDefault="00BE211B" w:rsidP="00E371E1">
      <w:pPr>
        <w:pStyle w:val="NoSpacing"/>
        <w:jc w:val="both"/>
        <w:rPr>
          <w:rFonts w:ascii="Times New Roman" w:hAnsi="Times New Roman" w:cs="Times New Roman"/>
          <w:sz w:val="24"/>
          <w:szCs w:val="24"/>
        </w:rPr>
      </w:pPr>
    </w:p>
    <w:p w14:paraId="6B69F469" w14:textId="00D22FED" w:rsidR="00BE211B" w:rsidRPr="00E371E1" w:rsidRDefault="00BE211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The </w:t>
      </w:r>
      <w:r w:rsidRPr="00E371E1">
        <w:rPr>
          <w:rFonts w:ascii="Times New Roman" w:hAnsi="Times New Roman" w:cs="Times New Roman"/>
          <w:i/>
          <w:iCs/>
          <w:sz w:val="24"/>
          <w:szCs w:val="24"/>
        </w:rPr>
        <w:t xml:space="preserve">Lost Lives </w:t>
      </w:r>
      <w:r w:rsidRPr="00E371E1">
        <w:rPr>
          <w:rFonts w:ascii="Times New Roman" w:hAnsi="Times New Roman" w:cs="Times New Roman"/>
          <w:sz w:val="24"/>
          <w:szCs w:val="24"/>
        </w:rPr>
        <w:t xml:space="preserve">statistics reveal a quite different picture (from </w:t>
      </w:r>
      <w:r w:rsidR="009B4EA3">
        <w:rPr>
          <w:rFonts w:ascii="Times New Roman" w:hAnsi="Times New Roman" w:cs="Times New Roman"/>
          <w:sz w:val="24"/>
          <w:szCs w:val="24"/>
        </w:rPr>
        <w:t xml:space="preserve">certain </w:t>
      </w:r>
      <w:r w:rsidRPr="00E371E1">
        <w:rPr>
          <w:rFonts w:ascii="Times New Roman" w:hAnsi="Times New Roman" w:cs="Times New Roman"/>
          <w:sz w:val="24"/>
          <w:szCs w:val="24"/>
        </w:rPr>
        <w:t>historical imagery and propaganda), between 1966 and 2006 (though deaths continue) for principally NI.</w:t>
      </w:r>
      <w:r w:rsidRPr="00E371E1">
        <w:rPr>
          <w:rStyle w:val="FootnoteReference"/>
          <w:rFonts w:ascii="Times New Roman" w:hAnsi="Times New Roman" w:cs="Times New Roman"/>
          <w:sz w:val="24"/>
          <w:szCs w:val="24"/>
        </w:rPr>
        <w:footnoteReference w:id="3"/>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A total of 3,720 persons </w:t>
      </w:r>
      <w:proofErr w:type="gramStart"/>
      <w:r w:rsidRPr="00E371E1">
        <w:rPr>
          <w:rFonts w:ascii="Times New Roman" w:hAnsi="Times New Roman" w:cs="Times New Roman"/>
          <w:sz w:val="24"/>
          <w:szCs w:val="24"/>
        </w:rPr>
        <w:t>was</w:t>
      </w:r>
      <w:proofErr w:type="gramEnd"/>
      <w:r w:rsidRPr="00E371E1">
        <w:rPr>
          <w:rFonts w:ascii="Times New Roman" w:hAnsi="Times New Roman" w:cs="Times New Roman"/>
          <w:sz w:val="24"/>
          <w:szCs w:val="24"/>
        </w:rPr>
        <w:t xml:space="preserve"> killed (and very many more seriously injured).</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Republicans were responsible for 2,152 killings (57.85 per cent).</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Loyalists killed 1,112, a lower attrition rate (29.89 per cent).</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And the state – soldiers more than police – killed 361 persons (9.7 per cent).</w:t>
      </w:r>
      <w:r w:rsidRPr="00E371E1">
        <w:rPr>
          <w:rStyle w:val="FootnoteReference"/>
          <w:rFonts w:ascii="Times New Roman" w:hAnsi="Times New Roman" w:cs="Times New Roman"/>
          <w:sz w:val="24"/>
          <w:szCs w:val="24"/>
        </w:rPr>
        <w:footnoteReference w:id="4"/>
      </w:r>
      <w:r w:rsidR="009B4EA3">
        <w:rPr>
          <w:rFonts w:ascii="Times New Roman" w:hAnsi="Times New Roman" w:cs="Times New Roman"/>
          <w:sz w:val="24"/>
          <w:szCs w:val="24"/>
        </w:rPr>
        <w:t xml:space="preserve"> </w:t>
      </w:r>
    </w:p>
    <w:p w14:paraId="5AD25E06" w14:textId="77777777" w:rsidR="00BE211B" w:rsidRPr="00E371E1" w:rsidRDefault="00BE211B" w:rsidP="00E371E1">
      <w:pPr>
        <w:pStyle w:val="NoSpacing"/>
        <w:jc w:val="both"/>
        <w:rPr>
          <w:rFonts w:ascii="Times New Roman" w:hAnsi="Times New Roman" w:cs="Times New Roman"/>
          <w:sz w:val="24"/>
          <w:szCs w:val="24"/>
        </w:rPr>
      </w:pPr>
    </w:p>
    <w:p w14:paraId="536DEC03" w14:textId="64D24E89" w:rsidR="00BE211B" w:rsidRPr="00E371E1" w:rsidRDefault="00BE211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These statistics are the basis for the popular rounding up of recent years: 60 per cent republican, 30 per cent loyalist and ten per cent state killings – 60/30/10.</w:t>
      </w:r>
      <w:r w:rsidR="009B4EA3">
        <w:rPr>
          <w:rFonts w:ascii="Times New Roman" w:hAnsi="Times New Roman" w:cs="Times New Roman"/>
          <w:sz w:val="24"/>
          <w:szCs w:val="24"/>
        </w:rPr>
        <w:t xml:space="preserve"> </w:t>
      </w:r>
      <w:r w:rsidR="00433970" w:rsidRPr="00E371E1">
        <w:rPr>
          <w:rFonts w:ascii="Times New Roman" w:hAnsi="Times New Roman" w:cs="Times New Roman"/>
          <w:sz w:val="24"/>
          <w:szCs w:val="24"/>
        </w:rPr>
        <w:t>I cannot see where any party</w:t>
      </w:r>
      <w:r w:rsidR="00CF3795" w:rsidRPr="00E371E1">
        <w:rPr>
          <w:rFonts w:ascii="Times New Roman" w:hAnsi="Times New Roman" w:cs="Times New Roman"/>
          <w:sz w:val="24"/>
          <w:szCs w:val="24"/>
        </w:rPr>
        <w:t xml:space="preserve"> at Strasbourg</w:t>
      </w:r>
      <w:r w:rsidR="00433970" w:rsidRPr="00E371E1">
        <w:rPr>
          <w:rFonts w:ascii="Times New Roman" w:hAnsi="Times New Roman" w:cs="Times New Roman"/>
          <w:sz w:val="24"/>
          <w:szCs w:val="24"/>
        </w:rPr>
        <w:t xml:space="preserve">, </w:t>
      </w:r>
      <w:r w:rsidR="00CF3795" w:rsidRPr="00E371E1">
        <w:rPr>
          <w:rFonts w:ascii="Times New Roman" w:hAnsi="Times New Roman" w:cs="Times New Roman"/>
          <w:sz w:val="24"/>
          <w:szCs w:val="24"/>
        </w:rPr>
        <w:t xml:space="preserve">whether </w:t>
      </w:r>
      <w:r w:rsidR="00433970" w:rsidRPr="00E371E1">
        <w:rPr>
          <w:rFonts w:ascii="Times New Roman" w:hAnsi="Times New Roman" w:cs="Times New Roman"/>
          <w:sz w:val="24"/>
          <w:szCs w:val="24"/>
        </w:rPr>
        <w:t xml:space="preserve">victim or state, has put this before </w:t>
      </w:r>
      <w:r w:rsidR="00CF3795" w:rsidRPr="00E371E1">
        <w:rPr>
          <w:rFonts w:ascii="Times New Roman" w:hAnsi="Times New Roman" w:cs="Times New Roman"/>
          <w:sz w:val="24"/>
          <w:szCs w:val="24"/>
        </w:rPr>
        <w:t>the court</w:t>
      </w:r>
      <w:r w:rsidR="00433970"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433970" w:rsidRPr="00E371E1">
        <w:rPr>
          <w:rFonts w:ascii="Times New Roman" w:hAnsi="Times New Roman" w:cs="Times New Roman"/>
          <w:sz w:val="24"/>
          <w:szCs w:val="24"/>
        </w:rPr>
        <w:t>I know of no case where any judge has discussed the context of the NI troubles</w:t>
      </w:r>
      <w:r w:rsidR="003B0CA4" w:rsidRPr="00E371E1">
        <w:rPr>
          <w:rFonts w:ascii="Times New Roman" w:hAnsi="Times New Roman" w:cs="Times New Roman"/>
          <w:sz w:val="24"/>
          <w:szCs w:val="24"/>
        </w:rPr>
        <w:t xml:space="preserve">, not least regarding the role of article </w:t>
      </w:r>
      <w:proofErr w:type="gramStart"/>
      <w:r w:rsidR="003B0CA4" w:rsidRPr="00E371E1">
        <w:rPr>
          <w:rFonts w:ascii="Times New Roman" w:hAnsi="Times New Roman" w:cs="Times New Roman"/>
          <w:sz w:val="24"/>
          <w:szCs w:val="24"/>
        </w:rPr>
        <w:t>2 jurisprudence in the past two decades</w:t>
      </w:r>
      <w:proofErr w:type="gramEnd"/>
      <w:r w:rsidR="00433970" w:rsidRPr="00E371E1">
        <w:rPr>
          <w:rFonts w:ascii="Times New Roman" w:hAnsi="Times New Roman" w:cs="Times New Roman"/>
          <w:sz w:val="24"/>
          <w:szCs w:val="24"/>
        </w:rPr>
        <w:t xml:space="preserve">. </w:t>
      </w:r>
      <w:r w:rsidR="00B4042F">
        <w:rPr>
          <w:rFonts w:ascii="Times New Roman" w:hAnsi="Times New Roman" w:cs="Times New Roman"/>
          <w:sz w:val="24"/>
          <w:szCs w:val="24"/>
        </w:rPr>
        <w:t xml:space="preserve">I am content to be corrected if I am exaggerating. </w:t>
      </w:r>
    </w:p>
    <w:p w14:paraId="3B041525" w14:textId="77777777" w:rsidR="00BE211B" w:rsidRPr="00E371E1" w:rsidRDefault="00BE211B" w:rsidP="00E371E1">
      <w:pPr>
        <w:pStyle w:val="NoSpacing"/>
        <w:jc w:val="both"/>
        <w:rPr>
          <w:rFonts w:ascii="Times New Roman" w:hAnsi="Times New Roman" w:cs="Times New Roman"/>
          <w:sz w:val="24"/>
          <w:szCs w:val="24"/>
        </w:rPr>
      </w:pPr>
    </w:p>
    <w:p w14:paraId="26ABEF0E" w14:textId="56EEC63F" w:rsidR="00BE211B" w:rsidRPr="00E371E1" w:rsidRDefault="00BE211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It is incontrovertibly the position that the 90 per cent terrorist killings were unlawful.</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There were no justifications, and no available defences.</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Only a handful of the ten per cent state killings </w:t>
      </w:r>
      <w:proofErr w:type="gramStart"/>
      <w:r w:rsidRPr="00E371E1">
        <w:rPr>
          <w:rFonts w:ascii="Times New Roman" w:hAnsi="Times New Roman" w:cs="Times New Roman"/>
          <w:sz w:val="24"/>
          <w:szCs w:val="24"/>
        </w:rPr>
        <w:t>was</w:t>
      </w:r>
      <w:proofErr w:type="gramEnd"/>
      <w:r w:rsidRPr="00E371E1">
        <w:rPr>
          <w:rFonts w:ascii="Times New Roman" w:hAnsi="Times New Roman" w:cs="Times New Roman"/>
          <w:sz w:val="24"/>
          <w:szCs w:val="24"/>
        </w:rPr>
        <w:t xml:space="preserve"> unlawful: one being: </w:t>
      </w:r>
      <w:r w:rsidRPr="009B4EA3">
        <w:rPr>
          <w:rFonts w:ascii="Times New Roman" w:hAnsi="Times New Roman" w:cs="Times New Roman"/>
          <w:b/>
          <w:bCs/>
          <w:i/>
          <w:iCs/>
          <w:sz w:val="24"/>
          <w:szCs w:val="24"/>
        </w:rPr>
        <w:t xml:space="preserve">R v Clegg </w:t>
      </w:r>
      <w:r w:rsidRPr="009B4EA3">
        <w:rPr>
          <w:rFonts w:ascii="Times New Roman" w:hAnsi="Times New Roman" w:cs="Times New Roman"/>
          <w:b/>
          <w:bCs/>
          <w:sz w:val="24"/>
          <w:szCs w:val="24"/>
        </w:rPr>
        <w:t>[1995] 1 AC 482</w:t>
      </w:r>
      <w:r w:rsidRPr="009B4EA3">
        <w:rPr>
          <w:rFonts w:ascii="Times New Roman" w:hAnsi="Times New Roman" w:cs="Times New Roman"/>
          <w:sz w:val="24"/>
          <w:szCs w:val="24"/>
        </w:rPr>
        <w:t>.</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So, in an ideal situation of fairness and equality, with post-troubles prosecutions of historic cases proceeding slowly, one would expect prosecutions in NI (if not convictions), to be running, from 1998, at very roughly a 60, 30, ten proportion over such a long period.</w:t>
      </w:r>
      <w:r w:rsidR="009B4EA3">
        <w:rPr>
          <w:rFonts w:ascii="Times New Roman" w:hAnsi="Times New Roman" w:cs="Times New Roman"/>
          <w:sz w:val="24"/>
          <w:szCs w:val="24"/>
        </w:rPr>
        <w:t xml:space="preserve"> </w:t>
      </w:r>
    </w:p>
    <w:p w14:paraId="2CFEB1EC" w14:textId="77777777" w:rsidR="00BE211B" w:rsidRPr="00E371E1" w:rsidRDefault="00BE211B" w:rsidP="00E371E1">
      <w:pPr>
        <w:pStyle w:val="NoSpacing"/>
        <w:jc w:val="both"/>
        <w:rPr>
          <w:rFonts w:ascii="Times New Roman" w:hAnsi="Times New Roman" w:cs="Times New Roman"/>
          <w:sz w:val="24"/>
          <w:szCs w:val="24"/>
        </w:rPr>
      </w:pPr>
    </w:p>
    <w:p w14:paraId="41FC694D" w14:textId="449D56B0" w:rsidR="00BE211B" w:rsidRPr="00E371E1" w:rsidRDefault="00BE211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The relatives of many soldiers and police killed</w:t>
      </w:r>
      <w:r w:rsidRPr="00E371E1">
        <w:rPr>
          <w:rStyle w:val="FootnoteReference"/>
          <w:rFonts w:ascii="Times New Roman" w:hAnsi="Times New Roman" w:cs="Times New Roman"/>
          <w:sz w:val="24"/>
          <w:szCs w:val="24"/>
        </w:rPr>
        <w:footnoteReference w:id="5"/>
      </w:r>
      <w:r w:rsidR="00BE0A7A" w:rsidRPr="00E371E1">
        <w:rPr>
          <w:rFonts w:ascii="Times New Roman" w:hAnsi="Times New Roman" w:cs="Times New Roman"/>
          <w:sz w:val="24"/>
          <w:szCs w:val="24"/>
        </w:rPr>
        <w:t xml:space="preserve"> (</w:t>
      </w:r>
      <w:r w:rsidRPr="00E371E1">
        <w:rPr>
          <w:rFonts w:ascii="Times New Roman" w:hAnsi="Times New Roman" w:cs="Times New Roman"/>
          <w:sz w:val="24"/>
          <w:szCs w:val="24"/>
        </w:rPr>
        <w:t>who are too readily ignored</w:t>
      </w:r>
      <w:r w:rsidR="00BE0A7A" w:rsidRPr="00E371E1">
        <w:rPr>
          <w:rFonts w:ascii="Times New Roman" w:hAnsi="Times New Roman" w:cs="Times New Roman"/>
          <w:sz w:val="24"/>
          <w:szCs w:val="24"/>
        </w:rPr>
        <w:t>)</w:t>
      </w:r>
      <w:r w:rsidRPr="00E371E1">
        <w:rPr>
          <w:rFonts w:ascii="Times New Roman" w:hAnsi="Times New Roman" w:cs="Times New Roman"/>
          <w:sz w:val="24"/>
          <w:szCs w:val="24"/>
        </w:rPr>
        <w:t>,</w:t>
      </w:r>
      <w:r w:rsidR="003B0CA4" w:rsidRPr="00E371E1">
        <w:rPr>
          <w:rFonts w:ascii="Times New Roman" w:hAnsi="Times New Roman" w:cs="Times New Roman"/>
          <w:sz w:val="24"/>
          <w:szCs w:val="24"/>
        </w:rPr>
        <w:t xml:space="preserve"> and do not appear at Strasbourg,</w:t>
      </w:r>
      <w:r w:rsidRPr="00E371E1">
        <w:rPr>
          <w:rFonts w:ascii="Times New Roman" w:hAnsi="Times New Roman" w:cs="Times New Roman"/>
          <w:sz w:val="24"/>
          <w:szCs w:val="24"/>
        </w:rPr>
        <w:t xml:space="preserve"> have had to cope with non-prosecutions, and limited investigations, while many republican and loyalists terrorists have escaped prosecution (and no investigations of their crimes): the figure of 229 IRA prisoners released</w:t>
      </w:r>
      <w:r w:rsidR="003826D3">
        <w:rPr>
          <w:rFonts w:ascii="Times New Roman" w:hAnsi="Times New Roman" w:cs="Times New Roman"/>
          <w:sz w:val="24"/>
          <w:szCs w:val="24"/>
        </w:rPr>
        <w:t xml:space="preserve"> early</w:t>
      </w:r>
      <w:r w:rsidRPr="00E371E1">
        <w:rPr>
          <w:rFonts w:ascii="Times New Roman" w:hAnsi="Times New Roman" w:cs="Times New Roman"/>
          <w:sz w:val="24"/>
          <w:szCs w:val="24"/>
        </w:rPr>
        <w:t xml:space="preserve"> after 1998 contrasts with the additional 228 IRA members who applied for letters from the Northern Ireland Office (‘NIO’) between 2000 and 2014</w:t>
      </w:r>
      <w:r w:rsidR="00BE0A7A" w:rsidRPr="00E371E1">
        <w:rPr>
          <w:rStyle w:val="FootnoteReference"/>
          <w:rFonts w:ascii="Times New Roman" w:hAnsi="Times New Roman" w:cs="Times New Roman"/>
          <w:sz w:val="24"/>
          <w:szCs w:val="24"/>
        </w:rPr>
        <w:footnoteReference w:id="6"/>
      </w:r>
      <w:r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CF3795" w:rsidRPr="00E371E1">
        <w:rPr>
          <w:rFonts w:ascii="Times New Roman" w:hAnsi="Times New Roman" w:cs="Times New Roman"/>
          <w:sz w:val="24"/>
          <w:szCs w:val="24"/>
        </w:rPr>
        <w:t>These were the on the runs.</w:t>
      </w:r>
      <w:r w:rsidR="003A4FCD">
        <w:rPr>
          <w:rFonts w:ascii="Times New Roman" w:hAnsi="Times New Roman" w:cs="Times New Roman"/>
          <w:sz w:val="24"/>
          <w:szCs w:val="24"/>
        </w:rPr>
        <w:t xml:space="preserve"> And they benefited effectively from a secret government amnesty offered only to the IRA.</w:t>
      </w:r>
    </w:p>
    <w:p w14:paraId="0B607C27" w14:textId="77777777" w:rsidR="00BE211B" w:rsidRPr="00E371E1" w:rsidRDefault="00BE211B" w:rsidP="00E371E1">
      <w:pPr>
        <w:pStyle w:val="NoSpacing"/>
        <w:jc w:val="both"/>
        <w:rPr>
          <w:rFonts w:ascii="Times New Roman" w:hAnsi="Times New Roman" w:cs="Times New Roman"/>
          <w:sz w:val="24"/>
          <w:szCs w:val="24"/>
        </w:rPr>
      </w:pPr>
    </w:p>
    <w:p w14:paraId="0F879B18" w14:textId="48B2BDB4" w:rsidR="00BE211B" w:rsidRPr="00E371E1" w:rsidRDefault="00BE211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Prosecution for all deaths assumes of course that the Public Prosecution Service </w:t>
      </w:r>
      <w:r w:rsidR="00BE0A7A" w:rsidRPr="00E371E1">
        <w:rPr>
          <w:rFonts w:ascii="Times New Roman" w:hAnsi="Times New Roman" w:cs="Times New Roman"/>
          <w:sz w:val="24"/>
          <w:szCs w:val="24"/>
        </w:rPr>
        <w:t xml:space="preserve">of Northern Ireland </w:t>
      </w:r>
      <w:r w:rsidRPr="00E371E1">
        <w:rPr>
          <w:rFonts w:ascii="Times New Roman" w:hAnsi="Times New Roman" w:cs="Times New Roman"/>
          <w:sz w:val="24"/>
          <w:szCs w:val="24"/>
        </w:rPr>
        <w:t>(‘PPS</w:t>
      </w:r>
      <w:r w:rsidR="00BE0A7A" w:rsidRPr="00E371E1">
        <w:rPr>
          <w:rFonts w:ascii="Times New Roman" w:hAnsi="Times New Roman" w:cs="Times New Roman"/>
          <w:sz w:val="24"/>
          <w:szCs w:val="24"/>
        </w:rPr>
        <w:t>NI</w:t>
      </w:r>
      <w:r w:rsidRPr="00E371E1">
        <w:rPr>
          <w:rFonts w:ascii="Times New Roman" w:hAnsi="Times New Roman" w:cs="Times New Roman"/>
          <w:sz w:val="24"/>
          <w:szCs w:val="24"/>
        </w:rPr>
        <w:t xml:space="preserve">’), applying its test for prosecution – comprising the evidential test and the public interest test - , presumes that all state killings are potentially unlawful; but that would </w:t>
      </w:r>
      <w:r w:rsidRPr="00E371E1">
        <w:rPr>
          <w:rFonts w:ascii="Times New Roman" w:hAnsi="Times New Roman" w:cs="Times New Roman"/>
          <w:sz w:val="24"/>
          <w:szCs w:val="24"/>
        </w:rPr>
        <w:lastRenderedPageBreak/>
        <w:t xml:space="preserve">be to ignore the defence of reasonable force while defending oneself or others available to </w:t>
      </w:r>
      <w:bookmarkStart w:id="2" w:name="_Hlk32670132"/>
      <w:r w:rsidRPr="00E371E1">
        <w:rPr>
          <w:rFonts w:ascii="Times New Roman" w:hAnsi="Times New Roman" w:cs="Times New Roman"/>
          <w:sz w:val="24"/>
          <w:szCs w:val="24"/>
        </w:rPr>
        <w:t xml:space="preserve">soldiers </w:t>
      </w:r>
      <w:r w:rsidR="00433970" w:rsidRPr="00E371E1">
        <w:rPr>
          <w:rFonts w:ascii="Times New Roman" w:hAnsi="Times New Roman" w:cs="Times New Roman"/>
          <w:sz w:val="24"/>
          <w:szCs w:val="24"/>
        </w:rPr>
        <w:t xml:space="preserve">and others </w:t>
      </w:r>
      <w:r w:rsidRPr="00E371E1">
        <w:rPr>
          <w:rFonts w:ascii="Times New Roman" w:hAnsi="Times New Roman" w:cs="Times New Roman"/>
          <w:sz w:val="24"/>
          <w:szCs w:val="24"/>
        </w:rPr>
        <w:t xml:space="preserve">on duty (but not to terrorists): </w:t>
      </w:r>
      <w:r w:rsidRPr="00E371E1">
        <w:rPr>
          <w:rFonts w:ascii="Times New Roman" w:hAnsi="Times New Roman" w:cs="Times New Roman"/>
          <w:b/>
          <w:bCs/>
          <w:sz w:val="24"/>
          <w:szCs w:val="24"/>
        </w:rPr>
        <w:t xml:space="preserve">Da Silva v UK, ECtHR (grand chamber), 30 March 2016 </w:t>
      </w:r>
      <w:r w:rsidRPr="00E371E1">
        <w:rPr>
          <w:rFonts w:ascii="Times New Roman" w:hAnsi="Times New Roman" w:cs="Times New Roman"/>
          <w:sz w:val="24"/>
          <w:szCs w:val="24"/>
        </w:rPr>
        <w:t xml:space="preserve">(the John </w:t>
      </w:r>
      <w:bookmarkEnd w:id="2"/>
      <w:r w:rsidRPr="00E371E1">
        <w:rPr>
          <w:rFonts w:ascii="Times New Roman" w:hAnsi="Times New Roman" w:cs="Times New Roman"/>
          <w:sz w:val="24"/>
          <w:szCs w:val="24"/>
        </w:rPr>
        <w:t>Charles de Menezes case).</w:t>
      </w:r>
      <w:r w:rsidR="009B4EA3">
        <w:rPr>
          <w:rFonts w:ascii="Times New Roman" w:hAnsi="Times New Roman" w:cs="Times New Roman"/>
          <w:sz w:val="24"/>
          <w:szCs w:val="24"/>
        </w:rPr>
        <w:t xml:space="preserve"> </w:t>
      </w:r>
    </w:p>
    <w:p w14:paraId="6055A0AA" w14:textId="77777777" w:rsidR="00BE211B" w:rsidRPr="00E371E1" w:rsidRDefault="00BE211B" w:rsidP="00E371E1">
      <w:pPr>
        <w:pStyle w:val="NoSpacing"/>
        <w:jc w:val="both"/>
        <w:rPr>
          <w:rFonts w:ascii="Times New Roman" w:hAnsi="Times New Roman" w:cs="Times New Roman"/>
          <w:sz w:val="24"/>
          <w:szCs w:val="24"/>
        </w:rPr>
      </w:pPr>
    </w:p>
    <w:p w14:paraId="50017565" w14:textId="77777777" w:rsidR="00BE211B" w:rsidRPr="00E371E1" w:rsidRDefault="00BE211B" w:rsidP="00E371E1">
      <w:pPr>
        <w:pStyle w:val="NoSpacing"/>
        <w:jc w:val="both"/>
        <w:rPr>
          <w:rFonts w:ascii="Times New Roman" w:hAnsi="Times New Roman" w:cs="Times New Roman"/>
          <w:i/>
          <w:iCs/>
          <w:sz w:val="24"/>
          <w:szCs w:val="24"/>
        </w:rPr>
      </w:pPr>
      <w:r w:rsidRPr="00E371E1">
        <w:rPr>
          <w:rFonts w:ascii="Times New Roman" w:hAnsi="Times New Roman" w:cs="Times New Roman"/>
          <w:i/>
          <w:iCs/>
          <w:sz w:val="24"/>
          <w:szCs w:val="24"/>
        </w:rPr>
        <w:t>Prosecutions Today</w:t>
      </w:r>
    </w:p>
    <w:p w14:paraId="63018326" w14:textId="77777777" w:rsidR="00BE211B" w:rsidRPr="00E371E1" w:rsidRDefault="00BE211B" w:rsidP="00E371E1">
      <w:pPr>
        <w:pStyle w:val="NoSpacing"/>
        <w:jc w:val="both"/>
        <w:rPr>
          <w:rFonts w:ascii="Times New Roman" w:hAnsi="Times New Roman" w:cs="Times New Roman"/>
          <w:i/>
          <w:iCs/>
          <w:sz w:val="24"/>
          <w:szCs w:val="24"/>
        </w:rPr>
      </w:pPr>
    </w:p>
    <w:p w14:paraId="4C113261" w14:textId="34A9AABD" w:rsidR="00BE211B" w:rsidRPr="00E371E1" w:rsidRDefault="00BE211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There are the following pending prosecutions of former soldiers, with the dates of PPS</w:t>
      </w:r>
      <w:r w:rsidR="00BE0A7A" w:rsidRPr="00E371E1">
        <w:rPr>
          <w:rFonts w:ascii="Times New Roman" w:hAnsi="Times New Roman" w:cs="Times New Roman"/>
          <w:sz w:val="24"/>
          <w:szCs w:val="24"/>
        </w:rPr>
        <w:t>NI</w:t>
      </w:r>
      <w:r w:rsidRPr="00E371E1">
        <w:rPr>
          <w:rFonts w:ascii="Times New Roman" w:hAnsi="Times New Roman" w:cs="Times New Roman"/>
          <w:sz w:val="24"/>
          <w:szCs w:val="24"/>
        </w:rPr>
        <w:t xml:space="preserve"> decisions to prosecute (where these have been published):</w:t>
      </w:r>
    </w:p>
    <w:p w14:paraId="4AC68A74" w14:textId="77777777" w:rsidR="00BE211B" w:rsidRPr="00E371E1" w:rsidRDefault="00BE211B" w:rsidP="00E371E1">
      <w:pPr>
        <w:pStyle w:val="NoSpacing"/>
        <w:jc w:val="both"/>
        <w:rPr>
          <w:rFonts w:ascii="Times New Roman" w:hAnsi="Times New Roman" w:cs="Times New Roman"/>
          <w:sz w:val="24"/>
          <w:szCs w:val="24"/>
        </w:rPr>
      </w:pPr>
    </w:p>
    <w:p w14:paraId="3DBA6E77" w14:textId="77777777" w:rsidR="00BE211B" w:rsidRPr="00E371E1" w:rsidRDefault="00BE211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24.04.15: Dennis Hutchings (for John Patrick Cunningham in 1974);</w:t>
      </w:r>
    </w:p>
    <w:p w14:paraId="342C9B68" w14:textId="77777777" w:rsidR="00BE211B" w:rsidRPr="00E371E1" w:rsidRDefault="00BE211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16.12.16: soldiers A and C (for Joe McCann in 1972);</w:t>
      </w:r>
    </w:p>
    <w:p w14:paraId="2E52A5E5" w14:textId="77777777" w:rsidR="00BE211B" w:rsidRPr="00E371E1" w:rsidRDefault="00BE211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19.06.18: Jonathan Holden</w:t>
      </w:r>
      <w:r w:rsidRPr="00E371E1">
        <w:rPr>
          <w:rStyle w:val="FootnoteReference"/>
          <w:rFonts w:ascii="Times New Roman" w:hAnsi="Times New Roman" w:cs="Times New Roman"/>
          <w:sz w:val="24"/>
          <w:szCs w:val="24"/>
        </w:rPr>
        <w:footnoteReference w:id="7"/>
      </w:r>
      <w:r w:rsidRPr="00E371E1">
        <w:rPr>
          <w:rFonts w:ascii="Times New Roman" w:hAnsi="Times New Roman" w:cs="Times New Roman"/>
          <w:sz w:val="24"/>
          <w:szCs w:val="24"/>
        </w:rPr>
        <w:t xml:space="preserve"> charged first in 1988 (for Aidan McAnespie in 1988);</w:t>
      </w:r>
    </w:p>
    <w:p w14:paraId="33B3161D" w14:textId="77777777" w:rsidR="00BE211B" w:rsidRPr="00E371E1" w:rsidRDefault="00BE211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14.03.19: soldier F (out of 19 suspects) (for bloody Sunday in 1972); and</w:t>
      </w:r>
    </w:p>
    <w:p w14:paraId="78641ACB" w14:textId="77777777" w:rsidR="00BE211B" w:rsidRPr="00E371E1" w:rsidRDefault="00BE211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15.04.19: soldier B (for Daniel Hegarty in 1972).</w:t>
      </w:r>
    </w:p>
    <w:p w14:paraId="3364C9CB" w14:textId="77777777" w:rsidR="00BE211B" w:rsidRPr="00E371E1" w:rsidRDefault="00BE211B" w:rsidP="00E371E1">
      <w:pPr>
        <w:pStyle w:val="NoSpacing"/>
        <w:jc w:val="both"/>
        <w:rPr>
          <w:rFonts w:ascii="Times New Roman" w:hAnsi="Times New Roman" w:cs="Times New Roman"/>
          <w:sz w:val="24"/>
          <w:szCs w:val="24"/>
        </w:rPr>
      </w:pPr>
    </w:p>
    <w:p w14:paraId="3C9E47E3" w14:textId="42B981A4" w:rsidR="00BE211B" w:rsidRPr="00E371E1" w:rsidRDefault="00BE211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That is a total of six mostly elderly, and often seriously ill, former soldiers.</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Most pre-date 8 August 1973, meaning there would be no early release from prison.</w:t>
      </w:r>
      <w:r w:rsidRPr="00E371E1">
        <w:rPr>
          <w:rStyle w:val="FootnoteReference"/>
          <w:rFonts w:ascii="Times New Roman" w:hAnsi="Times New Roman" w:cs="Times New Roman"/>
          <w:sz w:val="24"/>
          <w:szCs w:val="24"/>
        </w:rPr>
        <w:footnoteReference w:id="8"/>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Dennis Hutchings, and soldiers A and C, hold official letters, stating that, following investigation, they would not be prosecuted.</w:t>
      </w:r>
    </w:p>
    <w:p w14:paraId="1F38B2D2" w14:textId="77777777" w:rsidR="00BE211B" w:rsidRPr="00E371E1" w:rsidRDefault="00BE211B" w:rsidP="00E371E1">
      <w:pPr>
        <w:pStyle w:val="NoSpacing"/>
        <w:jc w:val="both"/>
        <w:rPr>
          <w:rFonts w:ascii="Times New Roman" w:hAnsi="Times New Roman" w:cs="Times New Roman"/>
          <w:sz w:val="24"/>
          <w:szCs w:val="24"/>
        </w:rPr>
      </w:pPr>
    </w:p>
    <w:p w14:paraId="5D30F695" w14:textId="4A9D346D" w:rsidR="00BE211B" w:rsidRPr="00E371E1" w:rsidRDefault="00BE211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There have been prosecutions of republicans and loyalists – for pre-10 April 1998 crimes – in the past two decades, but there are no comparable lists of pending terrorist prosecutions.</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That is why it is being said that a former soldier is 54 times – 6 multiplied by 90 divided by ten </w:t>
      </w:r>
      <w:r w:rsidR="004103D1">
        <w:rPr>
          <w:rFonts w:ascii="Times New Roman" w:hAnsi="Times New Roman" w:cs="Times New Roman"/>
          <w:sz w:val="24"/>
          <w:szCs w:val="24"/>
        </w:rPr>
        <w:t>–</w:t>
      </w:r>
      <w:r w:rsidRPr="00E371E1">
        <w:rPr>
          <w:rFonts w:ascii="Times New Roman" w:hAnsi="Times New Roman" w:cs="Times New Roman"/>
          <w:sz w:val="24"/>
          <w:szCs w:val="24"/>
        </w:rPr>
        <w:t xml:space="preserve"> more likely to be prosecuted than a republican or loyalist terrorist.</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One adds to that: the legal uncertainty regarding re-opened soldier investigations; and the absolute certainty of terrorist crimes having been committed</w:t>
      </w:r>
      <w:r w:rsidR="003826D3">
        <w:rPr>
          <w:rFonts w:ascii="Times New Roman" w:hAnsi="Times New Roman" w:cs="Times New Roman"/>
          <w:sz w:val="24"/>
          <w:szCs w:val="24"/>
        </w:rPr>
        <w:t xml:space="preserve"> and being unlawful</w:t>
      </w:r>
      <w:r w:rsidRPr="00E371E1">
        <w:rPr>
          <w:rFonts w:ascii="Times New Roman" w:hAnsi="Times New Roman" w:cs="Times New Roman"/>
          <w:sz w:val="24"/>
          <w:szCs w:val="24"/>
        </w:rPr>
        <w:t>.</w:t>
      </w:r>
    </w:p>
    <w:p w14:paraId="3A70993B" w14:textId="77777777" w:rsidR="00BE211B" w:rsidRPr="00E371E1" w:rsidRDefault="00BE211B" w:rsidP="00E371E1">
      <w:pPr>
        <w:pStyle w:val="NoSpacing"/>
        <w:jc w:val="both"/>
        <w:rPr>
          <w:rFonts w:ascii="Times New Roman" w:hAnsi="Times New Roman" w:cs="Times New Roman"/>
          <w:sz w:val="24"/>
          <w:szCs w:val="24"/>
        </w:rPr>
      </w:pPr>
    </w:p>
    <w:p w14:paraId="0CB343E1" w14:textId="5AA6C994" w:rsidR="00BE211B" w:rsidRPr="00E371E1" w:rsidRDefault="00BE211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The last prominent IRA member before the courts was Ivor Bell in 2014.</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Reportedly a former chief of staff, he was dismissed from the IRA in 1985 (and was unsupported by republicans).</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Accused of soliciting the murder of Jean McConville in 1972, he was found unfit to stand trial (having claimed he was suffering from dementia).</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In a trial of the facts, he was acquitted in October 2019, when the judge ruled that the Boston College tapes were inadmissible.</w:t>
      </w:r>
      <w:r w:rsidR="009B4EA3">
        <w:rPr>
          <w:rFonts w:ascii="Times New Roman" w:hAnsi="Times New Roman" w:cs="Times New Roman"/>
          <w:sz w:val="24"/>
          <w:szCs w:val="24"/>
        </w:rPr>
        <w:t xml:space="preserve"> </w:t>
      </w:r>
    </w:p>
    <w:p w14:paraId="543FC13D" w14:textId="77777777" w:rsidR="00BE211B" w:rsidRPr="00E371E1" w:rsidRDefault="00BE211B" w:rsidP="00E371E1">
      <w:pPr>
        <w:pStyle w:val="NoSpacing"/>
        <w:jc w:val="both"/>
        <w:rPr>
          <w:rFonts w:ascii="Times New Roman" w:hAnsi="Times New Roman" w:cs="Times New Roman"/>
          <w:sz w:val="24"/>
          <w:szCs w:val="24"/>
        </w:rPr>
      </w:pPr>
    </w:p>
    <w:p w14:paraId="2CE52B56" w14:textId="2226E5FD" w:rsidR="00BE211B" w:rsidRPr="00E371E1" w:rsidRDefault="00BE211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The only leading republican awaiting trial in NI is John Downey.</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In February 2014 at the Old Bailey – and charged with the four Hyde Park murders – Sweeney J ruled that it would be an abuse of process to proceed with a trial.</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John Downey had relied upon an official letter stating that he was not wanted in NI and Great Britain.</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He walked free.</w:t>
      </w:r>
      <w:r w:rsidRPr="00E371E1">
        <w:rPr>
          <w:rStyle w:val="FootnoteReference"/>
          <w:rFonts w:ascii="Times New Roman" w:hAnsi="Times New Roman" w:cs="Times New Roman"/>
          <w:sz w:val="24"/>
          <w:szCs w:val="24"/>
        </w:rPr>
        <w:footnoteReference w:id="9"/>
      </w:r>
      <w:r w:rsidR="003A4FCD">
        <w:rPr>
          <w:rFonts w:ascii="Times New Roman" w:hAnsi="Times New Roman" w:cs="Times New Roman"/>
          <w:sz w:val="24"/>
          <w:szCs w:val="24"/>
        </w:rPr>
        <w:t xml:space="preserve"> John Downey is a special case. And that is why h</w:t>
      </w:r>
      <w:r w:rsidRPr="00E371E1">
        <w:rPr>
          <w:rFonts w:ascii="Times New Roman" w:hAnsi="Times New Roman" w:cs="Times New Roman"/>
          <w:sz w:val="24"/>
          <w:szCs w:val="24"/>
        </w:rPr>
        <w:t xml:space="preserve">e was extradited from the Republic of Ireland more recently, on a different charge: namely the killing of two Ulster </w:t>
      </w:r>
      <w:r w:rsidR="009B4EA3">
        <w:rPr>
          <w:rFonts w:ascii="Times New Roman" w:hAnsi="Times New Roman" w:cs="Times New Roman"/>
          <w:sz w:val="24"/>
          <w:szCs w:val="24"/>
        </w:rPr>
        <w:t>Defence R</w:t>
      </w:r>
      <w:r w:rsidRPr="00E371E1">
        <w:rPr>
          <w:rFonts w:ascii="Times New Roman" w:hAnsi="Times New Roman" w:cs="Times New Roman"/>
          <w:sz w:val="24"/>
          <w:szCs w:val="24"/>
        </w:rPr>
        <w:t>egiment soldiers near Enniskillen in August 1972.</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He is on bail.</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No date for his trial has been fixed.</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It is widely expected that John Downey will seek to rely upon his letter for a second time.</w:t>
      </w:r>
      <w:r w:rsidR="009B4EA3">
        <w:rPr>
          <w:rFonts w:ascii="Times New Roman" w:hAnsi="Times New Roman" w:cs="Times New Roman"/>
          <w:sz w:val="24"/>
          <w:szCs w:val="24"/>
        </w:rPr>
        <w:t xml:space="preserve"> </w:t>
      </w:r>
    </w:p>
    <w:p w14:paraId="33AFDD58" w14:textId="77777777" w:rsidR="00BE0A7A" w:rsidRPr="00E371E1" w:rsidRDefault="00BE0A7A" w:rsidP="00E371E1">
      <w:pPr>
        <w:pStyle w:val="NoSpacing"/>
        <w:jc w:val="both"/>
        <w:rPr>
          <w:rFonts w:ascii="Times New Roman" w:hAnsi="Times New Roman" w:cs="Times New Roman"/>
          <w:sz w:val="24"/>
          <w:szCs w:val="24"/>
        </w:rPr>
      </w:pPr>
    </w:p>
    <w:p w14:paraId="0721B881" w14:textId="09712AA1" w:rsidR="00BE0A7A" w:rsidRPr="00E371E1" w:rsidRDefault="00BE0A7A" w:rsidP="00E371E1">
      <w:pPr>
        <w:pStyle w:val="NoSpacing"/>
        <w:jc w:val="both"/>
        <w:rPr>
          <w:rFonts w:ascii="Times New Roman" w:hAnsi="Times New Roman" w:cs="Times New Roman"/>
          <w:b/>
          <w:bCs/>
          <w:sz w:val="24"/>
          <w:szCs w:val="24"/>
        </w:rPr>
      </w:pPr>
      <w:r w:rsidRPr="00E371E1">
        <w:rPr>
          <w:rFonts w:ascii="Times New Roman" w:hAnsi="Times New Roman" w:cs="Times New Roman"/>
          <w:b/>
          <w:bCs/>
          <w:sz w:val="24"/>
          <w:szCs w:val="24"/>
        </w:rPr>
        <w:t xml:space="preserve">Strasbourg becomes </w:t>
      </w:r>
      <w:r w:rsidR="00F75345">
        <w:rPr>
          <w:rFonts w:ascii="Times New Roman" w:hAnsi="Times New Roman" w:cs="Times New Roman"/>
          <w:b/>
          <w:bCs/>
          <w:sz w:val="24"/>
          <w:szCs w:val="24"/>
        </w:rPr>
        <w:t>e</w:t>
      </w:r>
      <w:r w:rsidRPr="00E371E1">
        <w:rPr>
          <w:rFonts w:ascii="Times New Roman" w:hAnsi="Times New Roman" w:cs="Times New Roman"/>
          <w:b/>
          <w:bCs/>
          <w:sz w:val="24"/>
          <w:szCs w:val="24"/>
        </w:rPr>
        <w:t>ngaged</w:t>
      </w:r>
    </w:p>
    <w:p w14:paraId="68B55439" w14:textId="0F6D05EC" w:rsidR="00347BAE" w:rsidRPr="00E371E1" w:rsidRDefault="00347BAE" w:rsidP="00E371E1">
      <w:pPr>
        <w:pStyle w:val="NoSpacing"/>
        <w:jc w:val="both"/>
        <w:rPr>
          <w:rFonts w:ascii="Times New Roman" w:hAnsi="Times New Roman" w:cs="Times New Roman"/>
          <w:b/>
          <w:bCs/>
          <w:sz w:val="24"/>
          <w:szCs w:val="24"/>
        </w:rPr>
      </w:pPr>
    </w:p>
    <w:p w14:paraId="6488E1D5" w14:textId="5D5C7AE5" w:rsidR="00347BAE" w:rsidRPr="00E371E1" w:rsidRDefault="00347BAE" w:rsidP="00E371E1">
      <w:pPr>
        <w:pStyle w:val="NoSpacing"/>
        <w:jc w:val="both"/>
        <w:rPr>
          <w:rFonts w:ascii="Times New Roman" w:hAnsi="Times New Roman" w:cs="Times New Roman"/>
          <w:i/>
          <w:iCs/>
          <w:sz w:val="24"/>
          <w:szCs w:val="24"/>
        </w:rPr>
      </w:pPr>
      <w:r w:rsidRPr="00E371E1">
        <w:rPr>
          <w:rFonts w:ascii="Times New Roman" w:hAnsi="Times New Roman" w:cs="Times New Roman"/>
          <w:i/>
          <w:iCs/>
          <w:sz w:val="24"/>
          <w:szCs w:val="24"/>
        </w:rPr>
        <w:t>McCann</w:t>
      </w:r>
    </w:p>
    <w:p w14:paraId="64A9766C" w14:textId="54310A97" w:rsidR="00BE0A7A" w:rsidRPr="00E371E1" w:rsidRDefault="00BE0A7A" w:rsidP="00E371E1">
      <w:pPr>
        <w:pStyle w:val="NoSpacing"/>
        <w:jc w:val="both"/>
        <w:rPr>
          <w:rFonts w:ascii="Times New Roman" w:hAnsi="Times New Roman" w:cs="Times New Roman"/>
          <w:b/>
          <w:bCs/>
          <w:sz w:val="24"/>
          <w:szCs w:val="24"/>
        </w:rPr>
      </w:pPr>
    </w:p>
    <w:p w14:paraId="78701845" w14:textId="3B31B33E" w:rsidR="00BE0A7A" w:rsidRPr="00E371E1" w:rsidRDefault="00A519D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The key case on article 2 and NI is: </w:t>
      </w:r>
      <w:r w:rsidRPr="00E371E1">
        <w:rPr>
          <w:rFonts w:ascii="Times New Roman" w:hAnsi="Times New Roman" w:cs="Times New Roman"/>
          <w:b/>
          <w:bCs/>
          <w:sz w:val="24"/>
          <w:szCs w:val="24"/>
        </w:rPr>
        <w:t xml:space="preserve">McCann v UK, </w:t>
      </w:r>
      <w:r w:rsidR="00D001A0" w:rsidRPr="00E371E1">
        <w:rPr>
          <w:rFonts w:ascii="Times New Roman" w:hAnsi="Times New Roman" w:cs="Times New Roman"/>
          <w:b/>
          <w:bCs/>
          <w:sz w:val="24"/>
          <w:szCs w:val="24"/>
        </w:rPr>
        <w:t>ECtHR (grand chamber), 27 September 1995</w:t>
      </w:r>
      <w:r w:rsidR="00056D4F" w:rsidRPr="00E371E1">
        <w:rPr>
          <w:rFonts w:ascii="Times New Roman" w:hAnsi="Times New Roman" w:cs="Times New Roman"/>
          <w:b/>
          <w:bCs/>
          <w:sz w:val="24"/>
          <w:szCs w:val="24"/>
        </w:rPr>
        <w:t xml:space="preserve"> </w:t>
      </w:r>
      <w:r w:rsidR="00056D4F" w:rsidRPr="00E371E1">
        <w:rPr>
          <w:rFonts w:ascii="Times New Roman" w:hAnsi="Times New Roman" w:cs="Times New Roman"/>
          <w:sz w:val="24"/>
          <w:szCs w:val="24"/>
        </w:rPr>
        <w:t>(the Gibraltar three from 1988)</w:t>
      </w:r>
      <w:r w:rsidR="00D001A0"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D001A0" w:rsidRPr="00E371E1">
        <w:rPr>
          <w:rFonts w:ascii="Times New Roman" w:hAnsi="Times New Roman" w:cs="Times New Roman"/>
          <w:sz w:val="24"/>
          <w:szCs w:val="24"/>
        </w:rPr>
        <w:t>Strasbourg found there had been a (substantive) violation, by ten votes to nine.</w:t>
      </w:r>
      <w:r w:rsidR="009B4EA3">
        <w:rPr>
          <w:rFonts w:ascii="Times New Roman" w:hAnsi="Times New Roman" w:cs="Times New Roman"/>
          <w:sz w:val="24"/>
          <w:szCs w:val="24"/>
        </w:rPr>
        <w:t xml:space="preserve"> </w:t>
      </w:r>
      <w:r w:rsidR="00D001A0" w:rsidRPr="00E371E1">
        <w:rPr>
          <w:rFonts w:ascii="Times New Roman" w:hAnsi="Times New Roman" w:cs="Times New Roman"/>
          <w:sz w:val="24"/>
          <w:szCs w:val="24"/>
        </w:rPr>
        <w:t>Significantly, because of the terrorist operation by the Irish republican army (‘IRA’), it refused the claim for damages</w:t>
      </w:r>
      <w:r w:rsidR="00CA008A"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CF3795" w:rsidRPr="00E371E1">
        <w:rPr>
          <w:rFonts w:ascii="Times New Roman" w:hAnsi="Times New Roman" w:cs="Times New Roman"/>
          <w:sz w:val="24"/>
          <w:szCs w:val="24"/>
        </w:rPr>
        <w:t>(That was not to be followed subsequently.)</w:t>
      </w:r>
      <w:r w:rsidR="009B4EA3">
        <w:rPr>
          <w:rFonts w:ascii="Times New Roman" w:hAnsi="Times New Roman" w:cs="Times New Roman"/>
          <w:sz w:val="24"/>
          <w:szCs w:val="24"/>
        </w:rPr>
        <w:t xml:space="preserve"> </w:t>
      </w:r>
      <w:r w:rsidR="00056D4F" w:rsidRPr="00E371E1">
        <w:rPr>
          <w:rFonts w:ascii="Times New Roman" w:hAnsi="Times New Roman" w:cs="Times New Roman"/>
          <w:sz w:val="24"/>
          <w:szCs w:val="24"/>
        </w:rPr>
        <w:t>The dissenting opinion, including the president,</w:t>
      </w:r>
      <w:r w:rsidR="00A12FFE" w:rsidRPr="00E371E1">
        <w:rPr>
          <w:rFonts w:ascii="Times New Roman" w:hAnsi="Times New Roman" w:cs="Times New Roman"/>
          <w:sz w:val="24"/>
          <w:szCs w:val="24"/>
        </w:rPr>
        <w:t xml:space="preserve"> Rolv Ryssdal, of Norway, at pages 57 to 65</w:t>
      </w:r>
      <w:r w:rsidR="003613F0" w:rsidRPr="00E371E1">
        <w:rPr>
          <w:rFonts w:ascii="Times New Roman" w:hAnsi="Times New Roman" w:cs="Times New Roman"/>
          <w:sz w:val="24"/>
          <w:szCs w:val="24"/>
        </w:rPr>
        <w:t xml:space="preserve">, </w:t>
      </w:r>
      <w:r w:rsidR="00A12FFE" w:rsidRPr="00E371E1">
        <w:rPr>
          <w:rFonts w:ascii="Times New Roman" w:hAnsi="Times New Roman" w:cs="Times New Roman"/>
          <w:sz w:val="24"/>
          <w:szCs w:val="24"/>
        </w:rPr>
        <w:t>is essential reading.</w:t>
      </w:r>
      <w:r w:rsidR="009B4EA3">
        <w:rPr>
          <w:rFonts w:ascii="Times New Roman" w:hAnsi="Times New Roman" w:cs="Times New Roman"/>
          <w:sz w:val="24"/>
          <w:szCs w:val="24"/>
        </w:rPr>
        <w:t xml:space="preserve"> </w:t>
      </w:r>
      <w:r w:rsidR="00347BAE" w:rsidRPr="00E371E1">
        <w:rPr>
          <w:rFonts w:ascii="Times New Roman" w:hAnsi="Times New Roman" w:cs="Times New Roman"/>
          <w:sz w:val="24"/>
          <w:szCs w:val="24"/>
        </w:rPr>
        <w:t>Equally significantly, this case was heard during the NI troubles.</w:t>
      </w:r>
    </w:p>
    <w:p w14:paraId="1A289B04" w14:textId="77777777" w:rsidR="00A12FFE" w:rsidRPr="00E371E1" w:rsidRDefault="00A12FFE" w:rsidP="00E371E1">
      <w:pPr>
        <w:pStyle w:val="NoSpacing"/>
        <w:jc w:val="both"/>
        <w:rPr>
          <w:rFonts w:ascii="Times New Roman" w:hAnsi="Times New Roman" w:cs="Times New Roman"/>
          <w:sz w:val="24"/>
          <w:szCs w:val="24"/>
        </w:rPr>
      </w:pPr>
    </w:p>
    <w:p w14:paraId="145009E0" w14:textId="3B345446" w:rsidR="00A12FFE" w:rsidRPr="00E371E1" w:rsidRDefault="00A12FFE"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Setting out the law on article 2</w:t>
      </w:r>
      <w:r w:rsidR="003613F0" w:rsidRPr="00E371E1">
        <w:rPr>
          <w:rFonts w:ascii="Times New Roman" w:hAnsi="Times New Roman" w:cs="Times New Roman"/>
          <w:sz w:val="24"/>
          <w:szCs w:val="24"/>
        </w:rPr>
        <w:t xml:space="preserve"> in </w:t>
      </w:r>
      <w:r w:rsidR="003613F0" w:rsidRPr="00E371E1">
        <w:rPr>
          <w:rFonts w:ascii="Times New Roman" w:hAnsi="Times New Roman" w:cs="Times New Roman"/>
          <w:i/>
          <w:iCs/>
          <w:sz w:val="24"/>
          <w:szCs w:val="24"/>
        </w:rPr>
        <w:t>McCann</w:t>
      </w:r>
      <w:r w:rsidRPr="00E371E1">
        <w:rPr>
          <w:rFonts w:ascii="Times New Roman" w:hAnsi="Times New Roman" w:cs="Times New Roman"/>
          <w:sz w:val="24"/>
          <w:szCs w:val="24"/>
        </w:rPr>
        <w:t>, Strasbourg said: ‘The Court’s approach to the interpretation of Article 2…must be guided by the fact that the object and purpose of the Convention as an instrument for the protection of individual human beings requires that its provisions be interpreted and applied so as to make its safeguards practical and effective…In keeping with the importance of this provision…in a democratic society, the Court must, in making its assessment, subject deprivations of life to the most careful scrutiny, particularly where deliberate lethal force is used, taking into consideration not only the actions of the agents of the State who actually administer the force but also all the surrounding circumstances including such matters as the planning and control of the actions under examination.’ (</w:t>
      </w:r>
      <w:proofErr w:type="gramStart"/>
      <w:r w:rsidRPr="00E371E1">
        <w:rPr>
          <w:rFonts w:ascii="Times New Roman" w:hAnsi="Times New Roman" w:cs="Times New Roman"/>
          <w:sz w:val="24"/>
          <w:szCs w:val="24"/>
        </w:rPr>
        <w:t>paras</w:t>
      </w:r>
      <w:proofErr w:type="gramEnd"/>
      <w:r w:rsidRPr="00E371E1">
        <w:rPr>
          <w:rFonts w:ascii="Times New Roman" w:hAnsi="Times New Roman" w:cs="Times New Roman"/>
          <w:sz w:val="24"/>
          <w:szCs w:val="24"/>
        </w:rPr>
        <w:t xml:space="preserve"> 146 &amp; 150)</w:t>
      </w:r>
    </w:p>
    <w:p w14:paraId="1CADDBEF" w14:textId="77777777" w:rsidR="00A12FFE" w:rsidRPr="00E371E1" w:rsidRDefault="00A12FFE" w:rsidP="00E371E1">
      <w:pPr>
        <w:pStyle w:val="NoSpacing"/>
        <w:jc w:val="both"/>
        <w:rPr>
          <w:rFonts w:ascii="Times New Roman" w:hAnsi="Times New Roman" w:cs="Times New Roman"/>
          <w:sz w:val="24"/>
          <w:szCs w:val="24"/>
        </w:rPr>
      </w:pPr>
    </w:p>
    <w:p w14:paraId="7ECD150F" w14:textId="2DE4F363" w:rsidR="00A12FFE" w:rsidRPr="00E371E1" w:rsidRDefault="00A12FFE"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Two submissions are apposite.</w:t>
      </w:r>
      <w:r w:rsidR="009B4EA3">
        <w:rPr>
          <w:rFonts w:ascii="Times New Roman" w:hAnsi="Times New Roman" w:cs="Times New Roman"/>
          <w:sz w:val="24"/>
          <w:szCs w:val="24"/>
        </w:rPr>
        <w:t xml:space="preserve"> </w:t>
      </w:r>
      <w:proofErr w:type="gramStart"/>
      <w:r w:rsidRPr="00E371E1">
        <w:rPr>
          <w:rFonts w:ascii="Times New Roman" w:hAnsi="Times New Roman" w:cs="Times New Roman"/>
          <w:sz w:val="24"/>
          <w:szCs w:val="24"/>
        </w:rPr>
        <w:t>First, the humanitarian concern for ‘the protection of individual human beings’.</w:t>
      </w:r>
      <w:proofErr w:type="gramEnd"/>
      <w:r w:rsidR="009B4EA3">
        <w:rPr>
          <w:rFonts w:ascii="Times New Roman" w:hAnsi="Times New Roman" w:cs="Times New Roman"/>
          <w:sz w:val="24"/>
          <w:szCs w:val="24"/>
        </w:rPr>
        <w:t xml:space="preserve"> </w:t>
      </w:r>
      <w:r w:rsidRPr="00E371E1">
        <w:rPr>
          <w:rFonts w:ascii="Times New Roman" w:hAnsi="Times New Roman" w:cs="Times New Roman"/>
          <w:sz w:val="24"/>
          <w:szCs w:val="24"/>
        </w:rPr>
        <w:t>And second, the assumption (flowing from the structure of the convention) that ‘lethal force’ was used only by the state</w:t>
      </w:r>
      <w:r w:rsidR="004A1DE3" w:rsidRPr="00E371E1">
        <w:rPr>
          <w:rFonts w:ascii="Times New Roman" w:hAnsi="Times New Roman" w:cs="Times New Roman"/>
          <w:sz w:val="24"/>
          <w:szCs w:val="24"/>
        </w:rPr>
        <w:t xml:space="preserve"> (because of the defences in article 2)</w:t>
      </w:r>
      <w:r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Missing entirely, is any moral and legal awareness of the facts of the NI troubles, as outlined above</w:t>
      </w:r>
      <w:r w:rsidR="00347BAE" w:rsidRPr="00E371E1">
        <w:rPr>
          <w:rFonts w:ascii="Times New Roman" w:hAnsi="Times New Roman" w:cs="Times New Roman"/>
          <w:sz w:val="24"/>
          <w:szCs w:val="24"/>
        </w:rPr>
        <w:t xml:space="preserve">, including the statistics on who </w:t>
      </w:r>
      <w:r w:rsidR="00C97980">
        <w:rPr>
          <w:rFonts w:ascii="Times New Roman" w:hAnsi="Times New Roman" w:cs="Times New Roman"/>
          <w:sz w:val="24"/>
          <w:szCs w:val="24"/>
        </w:rPr>
        <w:t>k</w:t>
      </w:r>
      <w:r w:rsidR="00347BAE" w:rsidRPr="00E371E1">
        <w:rPr>
          <w:rFonts w:ascii="Times New Roman" w:hAnsi="Times New Roman" w:cs="Times New Roman"/>
          <w:sz w:val="24"/>
          <w:szCs w:val="24"/>
        </w:rPr>
        <w:t>illed whom.</w:t>
      </w:r>
      <w:r w:rsidR="009B4EA3">
        <w:rPr>
          <w:rFonts w:ascii="Times New Roman" w:hAnsi="Times New Roman" w:cs="Times New Roman"/>
          <w:sz w:val="24"/>
          <w:szCs w:val="24"/>
        </w:rPr>
        <w:t xml:space="preserve"> </w:t>
      </w:r>
      <w:r w:rsidR="00347BAE" w:rsidRPr="00E371E1">
        <w:rPr>
          <w:rFonts w:ascii="Times New Roman" w:hAnsi="Times New Roman" w:cs="Times New Roman"/>
          <w:sz w:val="24"/>
          <w:szCs w:val="24"/>
        </w:rPr>
        <w:t xml:space="preserve">The UK state was arguably, in the main, </w:t>
      </w:r>
      <w:r w:rsidR="008E2053" w:rsidRPr="00E371E1">
        <w:rPr>
          <w:rFonts w:ascii="Times New Roman" w:hAnsi="Times New Roman" w:cs="Times New Roman"/>
          <w:sz w:val="24"/>
          <w:szCs w:val="24"/>
        </w:rPr>
        <w:t xml:space="preserve">applying the rule of law </w:t>
      </w:r>
      <w:r w:rsidR="00CA008A" w:rsidRPr="00E371E1">
        <w:rPr>
          <w:rFonts w:ascii="Times New Roman" w:hAnsi="Times New Roman" w:cs="Times New Roman"/>
          <w:sz w:val="24"/>
          <w:szCs w:val="24"/>
        </w:rPr>
        <w:t>during</w:t>
      </w:r>
      <w:r w:rsidR="008E2053" w:rsidRPr="00E371E1">
        <w:rPr>
          <w:rFonts w:ascii="Times New Roman" w:hAnsi="Times New Roman" w:cs="Times New Roman"/>
          <w:sz w:val="24"/>
          <w:szCs w:val="24"/>
        </w:rPr>
        <w:t xml:space="preserve"> the history</w:t>
      </w:r>
      <w:r w:rsidR="00CA008A" w:rsidRPr="00E371E1">
        <w:rPr>
          <w:rFonts w:ascii="Times New Roman" w:hAnsi="Times New Roman" w:cs="Times New Roman"/>
          <w:sz w:val="24"/>
          <w:szCs w:val="24"/>
        </w:rPr>
        <w:t xml:space="preserve"> of the troubles</w:t>
      </w:r>
      <w:r w:rsidR="008E2053" w:rsidRPr="00E371E1">
        <w:rPr>
          <w:rFonts w:ascii="Times New Roman" w:hAnsi="Times New Roman" w:cs="Times New Roman"/>
          <w:sz w:val="24"/>
          <w:szCs w:val="24"/>
        </w:rPr>
        <w:t xml:space="preserve">, </w:t>
      </w:r>
      <w:r w:rsidR="00347BAE" w:rsidRPr="00E371E1">
        <w:rPr>
          <w:rFonts w:ascii="Times New Roman" w:hAnsi="Times New Roman" w:cs="Times New Roman"/>
          <w:sz w:val="24"/>
          <w:szCs w:val="24"/>
        </w:rPr>
        <w:t xml:space="preserve">the protector of the substantive right to life in NI, rather than – as is </w:t>
      </w:r>
      <w:r w:rsidR="00CA008A" w:rsidRPr="00E371E1">
        <w:rPr>
          <w:rFonts w:ascii="Times New Roman" w:hAnsi="Times New Roman" w:cs="Times New Roman"/>
          <w:sz w:val="24"/>
          <w:szCs w:val="24"/>
        </w:rPr>
        <w:t xml:space="preserve">now </w:t>
      </w:r>
      <w:r w:rsidR="00347BAE" w:rsidRPr="00E371E1">
        <w:rPr>
          <w:rFonts w:ascii="Times New Roman" w:hAnsi="Times New Roman" w:cs="Times New Roman"/>
          <w:sz w:val="24"/>
          <w:szCs w:val="24"/>
        </w:rPr>
        <w:t xml:space="preserve">being </w:t>
      </w:r>
      <w:r w:rsidR="00CF3795" w:rsidRPr="00E371E1">
        <w:rPr>
          <w:rFonts w:ascii="Times New Roman" w:hAnsi="Times New Roman" w:cs="Times New Roman"/>
          <w:sz w:val="24"/>
          <w:szCs w:val="24"/>
        </w:rPr>
        <w:t>portray</w:t>
      </w:r>
      <w:r w:rsidR="00347BAE" w:rsidRPr="00E371E1">
        <w:rPr>
          <w:rFonts w:ascii="Times New Roman" w:hAnsi="Times New Roman" w:cs="Times New Roman"/>
          <w:sz w:val="24"/>
          <w:szCs w:val="24"/>
        </w:rPr>
        <w:t>ed – the violator of the procedure of effective investigation.</w:t>
      </w:r>
      <w:r w:rsidR="009B4EA3">
        <w:rPr>
          <w:rFonts w:ascii="Times New Roman" w:hAnsi="Times New Roman" w:cs="Times New Roman"/>
          <w:sz w:val="24"/>
          <w:szCs w:val="24"/>
        </w:rPr>
        <w:t xml:space="preserve"> </w:t>
      </w:r>
    </w:p>
    <w:p w14:paraId="5082AD3C" w14:textId="77777777" w:rsidR="00347BAE" w:rsidRPr="00E371E1" w:rsidRDefault="00347BAE" w:rsidP="00E371E1">
      <w:pPr>
        <w:pStyle w:val="NoSpacing"/>
        <w:jc w:val="both"/>
        <w:rPr>
          <w:rFonts w:ascii="Times New Roman" w:hAnsi="Times New Roman" w:cs="Times New Roman"/>
          <w:sz w:val="24"/>
          <w:szCs w:val="24"/>
        </w:rPr>
      </w:pPr>
    </w:p>
    <w:p w14:paraId="190ADB10" w14:textId="755BC00D" w:rsidR="00347BAE" w:rsidRPr="00E371E1" w:rsidRDefault="00347BAE"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Strasbourg did not fashion the procedural obligation in </w:t>
      </w:r>
      <w:r w:rsidRPr="00E371E1">
        <w:rPr>
          <w:rFonts w:ascii="Times New Roman" w:hAnsi="Times New Roman" w:cs="Times New Roman"/>
          <w:i/>
          <w:iCs/>
          <w:sz w:val="24"/>
          <w:szCs w:val="24"/>
        </w:rPr>
        <w:t>McCann</w:t>
      </w:r>
      <w:r w:rsidR="004A1DE3" w:rsidRPr="00E371E1">
        <w:rPr>
          <w:rFonts w:ascii="Times New Roman" w:hAnsi="Times New Roman" w:cs="Times New Roman"/>
          <w:i/>
          <w:iCs/>
          <w:sz w:val="24"/>
          <w:szCs w:val="24"/>
        </w:rPr>
        <w:t xml:space="preserve"> </w:t>
      </w:r>
      <w:r w:rsidR="004A1DE3" w:rsidRPr="00E371E1">
        <w:rPr>
          <w:rFonts w:ascii="Times New Roman" w:hAnsi="Times New Roman" w:cs="Times New Roman"/>
          <w:sz w:val="24"/>
          <w:szCs w:val="24"/>
        </w:rPr>
        <w:t>(as may be seen from paras 157 to 164)</w:t>
      </w:r>
      <w:r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True, </w:t>
      </w:r>
      <w:r w:rsidR="003613F0" w:rsidRPr="00E371E1">
        <w:rPr>
          <w:rFonts w:ascii="Times New Roman" w:hAnsi="Times New Roman" w:cs="Times New Roman"/>
          <w:sz w:val="24"/>
          <w:szCs w:val="24"/>
        </w:rPr>
        <w:t xml:space="preserve">the applicants submitted there had been an inadequate inquest (without any discussion of coronial law and practice in </w:t>
      </w:r>
      <w:r w:rsidR="00CF3795" w:rsidRPr="00E371E1">
        <w:rPr>
          <w:rFonts w:ascii="Times New Roman" w:hAnsi="Times New Roman" w:cs="Times New Roman"/>
          <w:sz w:val="24"/>
          <w:szCs w:val="24"/>
        </w:rPr>
        <w:t>Gibraltar</w:t>
      </w:r>
      <w:r w:rsidR="003613F0"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8E2053" w:rsidRPr="00E371E1">
        <w:rPr>
          <w:rFonts w:ascii="Times New Roman" w:hAnsi="Times New Roman" w:cs="Times New Roman"/>
          <w:sz w:val="24"/>
          <w:szCs w:val="24"/>
        </w:rPr>
        <w:t>They also were concerned only with state killings.</w:t>
      </w:r>
      <w:r w:rsidR="009B4EA3">
        <w:rPr>
          <w:rFonts w:ascii="Times New Roman" w:hAnsi="Times New Roman" w:cs="Times New Roman"/>
          <w:sz w:val="24"/>
          <w:szCs w:val="24"/>
        </w:rPr>
        <w:t xml:space="preserve"> </w:t>
      </w:r>
      <w:r w:rsidR="003613F0" w:rsidRPr="00E371E1">
        <w:rPr>
          <w:rFonts w:ascii="Times New Roman" w:hAnsi="Times New Roman" w:cs="Times New Roman"/>
          <w:sz w:val="24"/>
          <w:szCs w:val="24"/>
        </w:rPr>
        <w:t>They did this with reference to a United Nations force and firearms principles policy document.</w:t>
      </w:r>
      <w:r w:rsidR="009B4EA3">
        <w:rPr>
          <w:rFonts w:ascii="Times New Roman" w:hAnsi="Times New Roman" w:cs="Times New Roman"/>
          <w:sz w:val="24"/>
          <w:szCs w:val="24"/>
        </w:rPr>
        <w:t xml:space="preserve"> </w:t>
      </w:r>
      <w:r w:rsidR="003613F0" w:rsidRPr="00E371E1">
        <w:rPr>
          <w:rFonts w:ascii="Times New Roman" w:hAnsi="Times New Roman" w:cs="Times New Roman"/>
          <w:sz w:val="24"/>
          <w:szCs w:val="24"/>
        </w:rPr>
        <w:t xml:space="preserve">True, it was the UK which referred to </w:t>
      </w:r>
      <w:r w:rsidR="004A1DE3" w:rsidRPr="00E371E1">
        <w:rPr>
          <w:rFonts w:ascii="Times New Roman" w:hAnsi="Times New Roman" w:cs="Times New Roman"/>
          <w:sz w:val="24"/>
          <w:szCs w:val="24"/>
        </w:rPr>
        <w:t>such a</w:t>
      </w:r>
      <w:r w:rsidR="003613F0" w:rsidRPr="00E371E1">
        <w:rPr>
          <w:rFonts w:ascii="Times New Roman" w:hAnsi="Times New Roman" w:cs="Times New Roman"/>
          <w:sz w:val="24"/>
          <w:szCs w:val="24"/>
        </w:rPr>
        <w:t xml:space="preserve"> </w:t>
      </w:r>
      <w:r w:rsidR="004A1DE3" w:rsidRPr="00E371E1">
        <w:rPr>
          <w:rFonts w:ascii="Times New Roman" w:hAnsi="Times New Roman" w:cs="Times New Roman"/>
          <w:sz w:val="24"/>
          <w:szCs w:val="24"/>
        </w:rPr>
        <w:t>possib</w:t>
      </w:r>
      <w:r w:rsidR="00C97980">
        <w:rPr>
          <w:rFonts w:ascii="Times New Roman" w:hAnsi="Times New Roman" w:cs="Times New Roman"/>
          <w:sz w:val="24"/>
          <w:szCs w:val="24"/>
        </w:rPr>
        <w:t>ility</w:t>
      </w:r>
      <w:r w:rsidR="004A1DE3" w:rsidRPr="00E371E1">
        <w:rPr>
          <w:rFonts w:ascii="Times New Roman" w:hAnsi="Times New Roman" w:cs="Times New Roman"/>
          <w:sz w:val="24"/>
          <w:szCs w:val="24"/>
        </w:rPr>
        <w:t xml:space="preserve"> </w:t>
      </w:r>
      <w:r w:rsidR="003613F0" w:rsidRPr="00E371E1">
        <w:rPr>
          <w:rFonts w:ascii="Times New Roman" w:hAnsi="Times New Roman" w:cs="Times New Roman"/>
          <w:sz w:val="24"/>
          <w:szCs w:val="24"/>
        </w:rPr>
        <w:t>being read into article 2</w:t>
      </w:r>
      <w:r w:rsidR="00CF3795" w:rsidRPr="00E371E1">
        <w:rPr>
          <w:rFonts w:ascii="Times New Roman" w:hAnsi="Times New Roman" w:cs="Times New Roman"/>
          <w:sz w:val="24"/>
          <w:szCs w:val="24"/>
        </w:rPr>
        <w:t xml:space="preserve"> (a point never noted</w:t>
      </w:r>
      <w:r w:rsidR="003826D3">
        <w:rPr>
          <w:rFonts w:ascii="Times New Roman" w:hAnsi="Times New Roman" w:cs="Times New Roman"/>
          <w:sz w:val="24"/>
          <w:szCs w:val="24"/>
        </w:rPr>
        <w:t>!</w:t>
      </w:r>
      <w:r w:rsidR="00CF3795" w:rsidRPr="00E371E1">
        <w:rPr>
          <w:rFonts w:ascii="Times New Roman" w:hAnsi="Times New Roman" w:cs="Times New Roman"/>
          <w:sz w:val="24"/>
          <w:szCs w:val="24"/>
        </w:rPr>
        <w:t>)</w:t>
      </w:r>
      <w:r w:rsidR="003613F0"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3613F0" w:rsidRPr="00E371E1">
        <w:rPr>
          <w:rFonts w:ascii="Times New Roman" w:hAnsi="Times New Roman" w:cs="Times New Roman"/>
          <w:sz w:val="24"/>
          <w:szCs w:val="24"/>
        </w:rPr>
        <w:t>B</w:t>
      </w:r>
      <w:r w:rsidR="004A1DE3" w:rsidRPr="00E371E1">
        <w:rPr>
          <w:rFonts w:ascii="Times New Roman" w:hAnsi="Times New Roman" w:cs="Times New Roman"/>
          <w:sz w:val="24"/>
          <w:szCs w:val="24"/>
        </w:rPr>
        <w:t>oth</w:t>
      </w:r>
      <w:r w:rsidR="003613F0" w:rsidRPr="00E371E1">
        <w:rPr>
          <w:rFonts w:ascii="Times New Roman" w:hAnsi="Times New Roman" w:cs="Times New Roman"/>
          <w:sz w:val="24"/>
          <w:szCs w:val="24"/>
        </w:rPr>
        <w:t xml:space="preserve"> the commission and the court </w:t>
      </w:r>
      <w:r w:rsidR="004A1DE3" w:rsidRPr="00E371E1">
        <w:rPr>
          <w:rFonts w:ascii="Times New Roman" w:hAnsi="Times New Roman" w:cs="Times New Roman"/>
          <w:sz w:val="24"/>
          <w:szCs w:val="24"/>
        </w:rPr>
        <w:t>refused to accept the case of the applicants</w:t>
      </w:r>
      <w:r w:rsidR="008E2053" w:rsidRPr="00E371E1">
        <w:rPr>
          <w:rFonts w:ascii="Times New Roman" w:hAnsi="Times New Roman" w:cs="Times New Roman"/>
          <w:sz w:val="24"/>
          <w:szCs w:val="24"/>
        </w:rPr>
        <w:t>, and found against them: the Gibraltar inquest had been acceptable.</w:t>
      </w:r>
      <w:r w:rsidR="009B4EA3">
        <w:rPr>
          <w:rFonts w:ascii="Times New Roman" w:hAnsi="Times New Roman" w:cs="Times New Roman"/>
          <w:sz w:val="24"/>
          <w:szCs w:val="24"/>
        </w:rPr>
        <w:t xml:space="preserve"> </w:t>
      </w:r>
      <w:r w:rsidR="004A1DE3" w:rsidRPr="00E371E1">
        <w:rPr>
          <w:rFonts w:ascii="Times New Roman" w:hAnsi="Times New Roman" w:cs="Times New Roman"/>
          <w:sz w:val="24"/>
          <w:szCs w:val="24"/>
        </w:rPr>
        <w:t xml:space="preserve">But then, in para 161, having introduced articles 6 and 13, the drafter </w:t>
      </w:r>
      <w:r w:rsidR="00CA008A" w:rsidRPr="00E371E1">
        <w:rPr>
          <w:rFonts w:ascii="Times New Roman" w:hAnsi="Times New Roman" w:cs="Times New Roman"/>
          <w:sz w:val="24"/>
          <w:szCs w:val="24"/>
        </w:rPr>
        <w:t xml:space="preserve">of the judgment </w:t>
      </w:r>
      <w:r w:rsidR="004A1DE3" w:rsidRPr="00E371E1">
        <w:rPr>
          <w:rFonts w:ascii="Times New Roman" w:hAnsi="Times New Roman" w:cs="Times New Roman"/>
          <w:sz w:val="24"/>
          <w:szCs w:val="24"/>
        </w:rPr>
        <w:t xml:space="preserve">wrote: ‘[articles 2 and 1 together] require[s] by implication that there should be some form of effective official investigation when individuals have been killed as a result of the use of force by, </w:t>
      </w:r>
      <w:r w:rsidR="004A1DE3" w:rsidRPr="00471489">
        <w:rPr>
          <w:rFonts w:ascii="Times New Roman" w:hAnsi="Times New Roman" w:cs="Times New Roman"/>
          <w:b/>
          <w:i/>
          <w:sz w:val="24"/>
          <w:szCs w:val="24"/>
        </w:rPr>
        <w:t>inter alios</w:t>
      </w:r>
      <w:r w:rsidR="004A1DE3" w:rsidRPr="00E371E1">
        <w:rPr>
          <w:rFonts w:ascii="Times New Roman" w:hAnsi="Times New Roman" w:cs="Times New Roman"/>
          <w:sz w:val="24"/>
          <w:szCs w:val="24"/>
        </w:rPr>
        <w:t>, agents of the State.’ (</w:t>
      </w:r>
      <w:proofErr w:type="gramStart"/>
      <w:r w:rsidR="004A1DE3" w:rsidRPr="00E371E1">
        <w:rPr>
          <w:rFonts w:ascii="Times New Roman" w:hAnsi="Times New Roman" w:cs="Times New Roman"/>
          <w:sz w:val="24"/>
          <w:szCs w:val="24"/>
        </w:rPr>
        <w:t>para</w:t>
      </w:r>
      <w:proofErr w:type="gramEnd"/>
      <w:r w:rsidR="004A1DE3" w:rsidRPr="00E371E1">
        <w:rPr>
          <w:rFonts w:ascii="Times New Roman" w:hAnsi="Times New Roman" w:cs="Times New Roman"/>
          <w:sz w:val="24"/>
          <w:szCs w:val="24"/>
        </w:rPr>
        <w:t xml:space="preserve"> 161)</w:t>
      </w:r>
    </w:p>
    <w:p w14:paraId="006040AE" w14:textId="77777777" w:rsidR="004A1DE3" w:rsidRPr="00E371E1" w:rsidRDefault="004A1DE3" w:rsidP="00E371E1">
      <w:pPr>
        <w:pStyle w:val="NoSpacing"/>
        <w:jc w:val="both"/>
        <w:rPr>
          <w:rFonts w:ascii="Times New Roman" w:hAnsi="Times New Roman" w:cs="Times New Roman"/>
          <w:sz w:val="24"/>
          <w:szCs w:val="24"/>
        </w:rPr>
      </w:pPr>
    </w:p>
    <w:p w14:paraId="2C206E3F" w14:textId="4BB67A94" w:rsidR="00CF3795" w:rsidRPr="00E371E1" w:rsidRDefault="004A1DE3" w:rsidP="00E371E1">
      <w:pPr>
        <w:pStyle w:val="NoSpacing"/>
        <w:jc w:val="both"/>
        <w:rPr>
          <w:rFonts w:ascii="Times New Roman" w:hAnsi="Times New Roman" w:cs="Times New Roman"/>
          <w:b/>
          <w:bCs/>
          <w:sz w:val="24"/>
          <w:szCs w:val="24"/>
        </w:rPr>
      </w:pPr>
      <w:r w:rsidRPr="00E371E1">
        <w:rPr>
          <w:rFonts w:ascii="Times New Roman" w:hAnsi="Times New Roman" w:cs="Times New Roman"/>
          <w:sz w:val="24"/>
          <w:szCs w:val="24"/>
        </w:rPr>
        <w:t>That was it.</w:t>
      </w:r>
      <w:r w:rsidR="009B4EA3">
        <w:rPr>
          <w:rFonts w:ascii="Times New Roman" w:hAnsi="Times New Roman" w:cs="Times New Roman"/>
          <w:sz w:val="24"/>
          <w:szCs w:val="24"/>
        </w:rPr>
        <w:t xml:space="preserve"> </w:t>
      </w:r>
      <w:r w:rsidR="00CA008A" w:rsidRPr="00E371E1">
        <w:rPr>
          <w:rFonts w:ascii="Times New Roman" w:hAnsi="Times New Roman" w:cs="Times New Roman"/>
          <w:sz w:val="24"/>
          <w:szCs w:val="24"/>
        </w:rPr>
        <w:t>The</w:t>
      </w:r>
      <w:r w:rsidR="001E1F63">
        <w:rPr>
          <w:rFonts w:ascii="Times New Roman" w:hAnsi="Times New Roman" w:cs="Times New Roman"/>
          <w:sz w:val="24"/>
          <w:szCs w:val="24"/>
        </w:rPr>
        <w:t>re</w:t>
      </w:r>
      <w:r w:rsidR="00CA008A" w:rsidRPr="00E371E1">
        <w:rPr>
          <w:rFonts w:ascii="Times New Roman" w:hAnsi="Times New Roman" w:cs="Times New Roman"/>
          <w:sz w:val="24"/>
          <w:szCs w:val="24"/>
        </w:rPr>
        <w:t xml:space="preserve"> w</w:t>
      </w:r>
      <w:r w:rsidR="00F040F3">
        <w:rPr>
          <w:rFonts w:ascii="Times New Roman" w:hAnsi="Times New Roman" w:cs="Times New Roman"/>
          <w:sz w:val="24"/>
          <w:szCs w:val="24"/>
        </w:rPr>
        <w:t>as</w:t>
      </w:r>
      <w:r w:rsidR="00CA008A" w:rsidRPr="00E371E1">
        <w:rPr>
          <w:rFonts w:ascii="Times New Roman" w:hAnsi="Times New Roman" w:cs="Times New Roman"/>
          <w:sz w:val="24"/>
          <w:szCs w:val="24"/>
        </w:rPr>
        <w:t xml:space="preserve"> no decision in favour of the </w:t>
      </w:r>
      <w:r w:rsidR="003826D3">
        <w:rPr>
          <w:rFonts w:ascii="Times New Roman" w:hAnsi="Times New Roman" w:cs="Times New Roman"/>
          <w:sz w:val="24"/>
          <w:szCs w:val="24"/>
        </w:rPr>
        <w:t xml:space="preserve">McCann </w:t>
      </w:r>
      <w:r w:rsidR="00CA008A" w:rsidRPr="00E371E1">
        <w:rPr>
          <w:rFonts w:ascii="Times New Roman" w:hAnsi="Times New Roman" w:cs="Times New Roman"/>
          <w:sz w:val="24"/>
          <w:szCs w:val="24"/>
        </w:rPr>
        <w:t>applicants</w:t>
      </w:r>
      <w:r w:rsidR="00932BB8">
        <w:rPr>
          <w:rFonts w:ascii="Times New Roman" w:hAnsi="Times New Roman" w:cs="Times New Roman"/>
          <w:sz w:val="24"/>
          <w:szCs w:val="24"/>
        </w:rPr>
        <w:t xml:space="preserve"> on inadequate investigation</w:t>
      </w:r>
      <w:r w:rsidR="00CA008A" w:rsidRPr="00E371E1">
        <w:rPr>
          <w:rFonts w:ascii="Times New Roman" w:hAnsi="Times New Roman" w:cs="Times New Roman"/>
          <w:sz w:val="24"/>
          <w:szCs w:val="24"/>
        </w:rPr>
        <w:t>.</w:t>
      </w:r>
      <w:r w:rsidRPr="00E371E1">
        <w:rPr>
          <w:rFonts w:ascii="Times New Roman" w:hAnsi="Times New Roman" w:cs="Times New Roman"/>
          <w:sz w:val="24"/>
          <w:szCs w:val="24"/>
        </w:rPr>
        <w:t xml:space="preserve"> </w:t>
      </w:r>
      <w:proofErr w:type="gramStart"/>
      <w:r w:rsidRPr="00E371E1">
        <w:rPr>
          <w:rFonts w:ascii="Times New Roman" w:hAnsi="Times New Roman" w:cs="Times New Roman"/>
          <w:sz w:val="24"/>
          <w:szCs w:val="24"/>
        </w:rPr>
        <w:t xml:space="preserve">Query the </w:t>
      </w:r>
      <w:r w:rsidRPr="00471489">
        <w:rPr>
          <w:rFonts w:ascii="Times New Roman" w:hAnsi="Times New Roman" w:cs="Times New Roman"/>
          <w:i/>
          <w:sz w:val="24"/>
          <w:szCs w:val="24"/>
        </w:rPr>
        <w:t>inter alios</w:t>
      </w:r>
      <w:r w:rsidRPr="00E371E1">
        <w:rPr>
          <w:rFonts w:ascii="Times New Roman" w:hAnsi="Times New Roman" w:cs="Times New Roman"/>
          <w:sz w:val="24"/>
          <w:szCs w:val="24"/>
        </w:rPr>
        <w:t>?</w:t>
      </w:r>
      <w:proofErr w:type="gramEnd"/>
      <w:r w:rsidR="009B4EA3">
        <w:rPr>
          <w:rFonts w:ascii="Times New Roman" w:hAnsi="Times New Roman" w:cs="Times New Roman"/>
          <w:sz w:val="24"/>
          <w:szCs w:val="24"/>
        </w:rPr>
        <w:t xml:space="preserve"> </w:t>
      </w:r>
      <w:r w:rsidRPr="00E371E1">
        <w:rPr>
          <w:rFonts w:ascii="Times New Roman" w:hAnsi="Times New Roman" w:cs="Times New Roman"/>
          <w:sz w:val="24"/>
          <w:szCs w:val="24"/>
        </w:rPr>
        <w:t>Was Strasbourg saying in 1995 that all deaths should be investigated?</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Or did it simply think that the state had done most, if not all, of the killing?</w:t>
      </w:r>
    </w:p>
    <w:p w14:paraId="64FEE9E3" w14:textId="77777777" w:rsidR="00CF3795" w:rsidRPr="00E371E1" w:rsidRDefault="00CF3795" w:rsidP="00E371E1">
      <w:pPr>
        <w:pStyle w:val="NoSpacing"/>
        <w:jc w:val="both"/>
        <w:rPr>
          <w:rFonts w:ascii="Times New Roman" w:hAnsi="Times New Roman" w:cs="Times New Roman"/>
          <w:b/>
          <w:bCs/>
          <w:sz w:val="24"/>
          <w:szCs w:val="24"/>
        </w:rPr>
      </w:pPr>
    </w:p>
    <w:p w14:paraId="5434EAB1" w14:textId="225F84CE" w:rsidR="0003449D" w:rsidRPr="00E371E1" w:rsidRDefault="0003449D" w:rsidP="00E371E1">
      <w:pPr>
        <w:pStyle w:val="NoSpacing"/>
        <w:jc w:val="both"/>
        <w:rPr>
          <w:rFonts w:ascii="Times New Roman" w:hAnsi="Times New Roman" w:cs="Times New Roman"/>
          <w:b/>
          <w:bCs/>
          <w:sz w:val="24"/>
          <w:szCs w:val="24"/>
        </w:rPr>
      </w:pPr>
      <w:r w:rsidRPr="00E371E1">
        <w:rPr>
          <w:rFonts w:ascii="Times New Roman" w:hAnsi="Times New Roman" w:cs="Times New Roman"/>
          <w:b/>
          <w:bCs/>
          <w:sz w:val="24"/>
          <w:szCs w:val="24"/>
        </w:rPr>
        <w:t>Article 2 Procedural</w:t>
      </w:r>
    </w:p>
    <w:p w14:paraId="0FCD1E7E" w14:textId="4B176F43" w:rsidR="0003449D" w:rsidRPr="00E371E1" w:rsidRDefault="0003449D" w:rsidP="00E371E1">
      <w:pPr>
        <w:pStyle w:val="NoSpacing"/>
        <w:jc w:val="both"/>
        <w:rPr>
          <w:rFonts w:ascii="Times New Roman" w:hAnsi="Times New Roman" w:cs="Times New Roman"/>
          <w:b/>
          <w:bCs/>
          <w:sz w:val="24"/>
          <w:szCs w:val="24"/>
        </w:rPr>
      </w:pPr>
    </w:p>
    <w:p w14:paraId="5D142C9D" w14:textId="0814918D" w:rsidR="0003449D" w:rsidRPr="00E371E1" w:rsidRDefault="0003449D" w:rsidP="00E371E1">
      <w:pPr>
        <w:pStyle w:val="NoSpacing"/>
        <w:jc w:val="both"/>
        <w:rPr>
          <w:rFonts w:ascii="Times New Roman" w:hAnsi="Times New Roman" w:cs="Times New Roman"/>
          <w:i/>
          <w:iCs/>
          <w:sz w:val="24"/>
          <w:szCs w:val="24"/>
        </w:rPr>
      </w:pPr>
      <w:r w:rsidRPr="00E371E1">
        <w:rPr>
          <w:rFonts w:ascii="Times New Roman" w:hAnsi="Times New Roman" w:cs="Times New Roman"/>
          <w:i/>
          <w:iCs/>
          <w:sz w:val="24"/>
          <w:szCs w:val="24"/>
        </w:rPr>
        <w:t>Strasbourg Develops the Law</w:t>
      </w:r>
    </w:p>
    <w:p w14:paraId="70A236D3" w14:textId="1A1E42A0" w:rsidR="008E2053" w:rsidRPr="00E371E1" w:rsidRDefault="008E2053" w:rsidP="00E371E1">
      <w:pPr>
        <w:pStyle w:val="NoSpacing"/>
        <w:jc w:val="both"/>
        <w:rPr>
          <w:rFonts w:ascii="Times New Roman" w:hAnsi="Times New Roman" w:cs="Times New Roman"/>
          <w:i/>
          <w:iCs/>
          <w:sz w:val="24"/>
          <w:szCs w:val="24"/>
        </w:rPr>
      </w:pPr>
    </w:p>
    <w:p w14:paraId="15EEC546" w14:textId="5A820B37" w:rsidR="008E2053" w:rsidRPr="00E371E1" w:rsidRDefault="008E2053"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I refer to:</w:t>
      </w:r>
    </w:p>
    <w:p w14:paraId="49F51971" w14:textId="0E3D283D" w:rsidR="008E2053" w:rsidRPr="00E371E1" w:rsidRDefault="008E2053" w:rsidP="00E371E1">
      <w:pPr>
        <w:pStyle w:val="NoSpacing"/>
        <w:jc w:val="both"/>
        <w:rPr>
          <w:rFonts w:ascii="Times New Roman" w:hAnsi="Times New Roman" w:cs="Times New Roman"/>
          <w:sz w:val="24"/>
          <w:szCs w:val="24"/>
        </w:rPr>
      </w:pPr>
    </w:p>
    <w:p w14:paraId="5B3D5ECF" w14:textId="3BAE22B9" w:rsidR="008E2053" w:rsidRPr="00E371E1" w:rsidRDefault="00AB72B3" w:rsidP="00E371E1">
      <w:pPr>
        <w:pStyle w:val="NoSpacing"/>
        <w:jc w:val="both"/>
        <w:rPr>
          <w:rFonts w:ascii="Times New Roman" w:hAnsi="Times New Roman" w:cs="Times New Roman"/>
          <w:sz w:val="24"/>
          <w:szCs w:val="24"/>
        </w:rPr>
      </w:pPr>
      <w:r w:rsidRPr="00E371E1">
        <w:rPr>
          <w:rFonts w:ascii="Times New Roman" w:hAnsi="Times New Roman" w:cs="Times New Roman"/>
          <w:b/>
          <w:bCs/>
          <w:sz w:val="24"/>
          <w:szCs w:val="24"/>
        </w:rPr>
        <w:t>Jordan v UK, ECtHR (third section), 4 May 2001;</w:t>
      </w:r>
    </w:p>
    <w:p w14:paraId="2276E28F" w14:textId="71B61048" w:rsidR="00AB72B3" w:rsidRPr="00E371E1" w:rsidRDefault="00AB72B3" w:rsidP="00E371E1">
      <w:pPr>
        <w:pStyle w:val="NoSpacing"/>
        <w:jc w:val="both"/>
        <w:rPr>
          <w:rFonts w:ascii="Times New Roman" w:hAnsi="Times New Roman" w:cs="Times New Roman"/>
          <w:sz w:val="24"/>
          <w:szCs w:val="24"/>
        </w:rPr>
      </w:pPr>
      <w:r w:rsidRPr="00E371E1">
        <w:rPr>
          <w:rFonts w:ascii="Times New Roman" w:hAnsi="Times New Roman" w:cs="Times New Roman"/>
          <w:b/>
          <w:bCs/>
          <w:sz w:val="24"/>
          <w:szCs w:val="24"/>
        </w:rPr>
        <w:t>McKerr v UK, ECtHR (third section), 4 May 2001;</w:t>
      </w:r>
    </w:p>
    <w:p w14:paraId="709B9B08" w14:textId="12616CA6" w:rsidR="00AB72B3" w:rsidRPr="00E371E1" w:rsidRDefault="00AB72B3" w:rsidP="00E371E1">
      <w:pPr>
        <w:pStyle w:val="NoSpacing"/>
        <w:jc w:val="both"/>
        <w:rPr>
          <w:rFonts w:ascii="Times New Roman" w:hAnsi="Times New Roman" w:cs="Times New Roman"/>
          <w:sz w:val="24"/>
          <w:szCs w:val="24"/>
        </w:rPr>
      </w:pPr>
      <w:r w:rsidRPr="00E371E1">
        <w:rPr>
          <w:rFonts w:ascii="Times New Roman" w:hAnsi="Times New Roman" w:cs="Times New Roman"/>
          <w:b/>
          <w:bCs/>
          <w:sz w:val="24"/>
          <w:szCs w:val="24"/>
        </w:rPr>
        <w:t>Kelly v UK, ECtHR (third section), 4 May 2001;</w:t>
      </w:r>
    </w:p>
    <w:p w14:paraId="3E91E67C" w14:textId="7B672866" w:rsidR="00AB72B3" w:rsidRPr="00E371E1" w:rsidRDefault="00AB72B3" w:rsidP="00E371E1">
      <w:pPr>
        <w:pStyle w:val="NoSpacing"/>
        <w:jc w:val="both"/>
        <w:rPr>
          <w:rFonts w:ascii="Times New Roman" w:hAnsi="Times New Roman" w:cs="Times New Roman"/>
          <w:sz w:val="24"/>
          <w:szCs w:val="24"/>
        </w:rPr>
      </w:pPr>
      <w:proofErr w:type="gramStart"/>
      <w:r w:rsidRPr="00E371E1">
        <w:rPr>
          <w:rFonts w:ascii="Times New Roman" w:hAnsi="Times New Roman" w:cs="Times New Roman"/>
          <w:b/>
          <w:bCs/>
          <w:sz w:val="24"/>
          <w:szCs w:val="24"/>
        </w:rPr>
        <w:t>Shanaghan v UK, ECtHR (third section), 4 May 2001.</w:t>
      </w:r>
      <w:proofErr w:type="gramEnd"/>
    </w:p>
    <w:p w14:paraId="3F85CB30" w14:textId="086FE800" w:rsidR="00AB72B3" w:rsidRPr="00E371E1" w:rsidRDefault="00AB72B3" w:rsidP="00E371E1">
      <w:pPr>
        <w:pStyle w:val="NoSpacing"/>
        <w:jc w:val="both"/>
        <w:rPr>
          <w:rFonts w:ascii="Times New Roman" w:hAnsi="Times New Roman" w:cs="Times New Roman"/>
          <w:sz w:val="24"/>
          <w:szCs w:val="24"/>
        </w:rPr>
      </w:pPr>
    </w:p>
    <w:p w14:paraId="4823F7A7" w14:textId="2EDB9EB6" w:rsidR="00AB72B3" w:rsidRPr="00E371E1" w:rsidRDefault="00AB72B3"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These four cases were decided on the same day, the judgments – in the absence of any appeals by the UK</w:t>
      </w:r>
      <w:r w:rsidR="00CF3795" w:rsidRPr="00E371E1">
        <w:rPr>
          <w:rFonts w:ascii="Times New Roman" w:hAnsi="Times New Roman" w:cs="Times New Roman"/>
          <w:sz w:val="24"/>
          <w:szCs w:val="24"/>
        </w:rPr>
        <w:t xml:space="preserve"> on at least damages</w:t>
      </w:r>
      <w:r w:rsidRPr="00E371E1">
        <w:rPr>
          <w:rFonts w:ascii="Times New Roman" w:hAnsi="Times New Roman" w:cs="Times New Roman"/>
          <w:sz w:val="24"/>
          <w:szCs w:val="24"/>
        </w:rPr>
        <w:t xml:space="preserve"> – becoming final on 4 August 2001.</w:t>
      </w:r>
      <w:r w:rsidR="009B4EA3">
        <w:rPr>
          <w:rFonts w:ascii="Times New Roman" w:hAnsi="Times New Roman" w:cs="Times New Roman"/>
          <w:sz w:val="24"/>
          <w:szCs w:val="24"/>
        </w:rPr>
        <w:t xml:space="preserve"> </w:t>
      </w:r>
      <w:r w:rsidR="00223015" w:rsidRPr="00E371E1">
        <w:rPr>
          <w:rFonts w:ascii="Times New Roman" w:hAnsi="Times New Roman" w:cs="Times New Roman"/>
          <w:sz w:val="24"/>
          <w:szCs w:val="24"/>
        </w:rPr>
        <w:t>It is more logical to refer to Jordan, the first in time (in terms of application), in order to access the new law, which is common to all four cases.</w:t>
      </w:r>
      <w:r w:rsidR="009B4EA3">
        <w:rPr>
          <w:rFonts w:ascii="Times New Roman" w:hAnsi="Times New Roman" w:cs="Times New Roman"/>
          <w:sz w:val="24"/>
          <w:szCs w:val="24"/>
        </w:rPr>
        <w:t xml:space="preserve"> </w:t>
      </w:r>
      <w:r w:rsidR="0003449D" w:rsidRPr="00E371E1">
        <w:rPr>
          <w:rFonts w:ascii="Times New Roman" w:hAnsi="Times New Roman" w:cs="Times New Roman"/>
          <w:sz w:val="24"/>
          <w:szCs w:val="24"/>
        </w:rPr>
        <w:t>I accept that some refer to the McKerr cases, though it is unclear on what basis this is chosen as the lead case (possibly the date of the killings in 1982).</w:t>
      </w:r>
      <w:r w:rsidR="009B4EA3">
        <w:rPr>
          <w:rFonts w:ascii="Times New Roman" w:hAnsi="Times New Roman" w:cs="Times New Roman"/>
          <w:sz w:val="24"/>
          <w:szCs w:val="24"/>
        </w:rPr>
        <w:t xml:space="preserve"> </w:t>
      </w:r>
      <w:r w:rsidR="00CA008A" w:rsidRPr="00E371E1">
        <w:rPr>
          <w:rFonts w:ascii="Times New Roman" w:hAnsi="Times New Roman" w:cs="Times New Roman"/>
          <w:sz w:val="24"/>
          <w:szCs w:val="24"/>
        </w:rPr>
        <w:t>Significantly, these cases were decided after the formal end of the NI troubles.</w:t>
      </w:r>
    </w:p>
    <w:p w14:paraId="3121A95E" w14:textId="7777FDAA" w:rsidR="00223015" w:rsidRPr="00E371E1" w:rsidRDefault="00223015" w:rsidP="00E371E1">
      <w:pPr>
        <w:pStyle w:val="NoSpacing"/>
        <w:jc w:val="both"/>
        <w:rPr>
          <w:rFonts w:ascii="Times New Roman" w:hAnsi="Times New Roman" w:cs="Times New Roman"/>
          <w:sz w:val="24"/>
          <w:szCs w:val="24"/>
        </w:rPr>
      </w:pPr>
    </w:p>
    <w:p w14:paraId="514B4DAE" w14:textId="49A06840" w:rsidR="00223015" w:rsidRPr="00E371E1" w:rsidRDefault="00223015"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Strasbourg set out the law on article 2 </w:t>
      </w:r>
      <w:r w:rsidR="00CA008A" w:rsidRPr="00E371E1">
        <w:rPr>
          <w:rFonts w:ascii="Times New Roman" w:hAnsi="Times New Roman" w:cs="Times New Roman"/>
          <w:sz w:val="24"/>
          <w:szCs w:val="24"/>
        </w:rPr>
        <w:t xml:space="preserve">for the first time </w:t>
      </w:r>
      <w:r w:rsidRPr="00E371E1">
        <w:rPr>
          <w:rFonts w:ascii="Times New Roman" w:hAnsi="Times New Roman" w:cs="Times New Roman"/>
          <w:sz w:val="24"/>
          <w:szCs w:val="24"/>
        </w:rPr>
        <w:t>in paras 102 to 109 of Jordan (and this may be contrast</w:t>
      </w:r>
      <w:r w:rsidR="00E364FC" w:rsidRPr="00E371E1">
        <w:rPr>
          <w:rFonts w:ascii="Times New Roman" w:hAnsi="Times New Roman" w:cs="Times New Roman"/>
          <w:sz w:val="24"/>
          <w:szCs w:val="24"/>
        </w:rPr>
        <w:t>ed</w:t>
      </w:r>
      <w:r w:rsidRPr="00E371E1">
        <w:rPr>
          <w:rFonts w:ascii="Times New Roman" w:hAnsi="Times New Roman" w:cs="Times New Roman"/>
          <w:sz w:val="24"/>
          <w:szCs w:val="24"/>
        </w:rPr>
        <w:t xml:space="preserve"> with paras </w:t>
      </w:r>
      <w:r w:rsidR="00E364FC" w:rsidRPr="00E371E1">
        <w:rPr>
          <w:rFonts w:ascii="Times New Roman" w:hAnsi="Times New Roman" w:cs="Times New Roman"/>
          <w:sz w:val="24"/>
          <w:szCs w:val="24"/>
        </w:rPr>
        <w:t>146 to 164 of McCann, which also includes the facts).</w:t>
      </w:r>
      <w:r w:rsidR="009B4EA3">
        <w:rPr>
          <w:rFonts w:ascii="Times New Roman" w:hAnsi="Times New Roman" w:cs="Times New Roman"/>
          <w:sz w:val="24"/>
          <w:szCs w:val="24"/>
        </w:rPr>
        <w:t xml:space="preserve"> </w:t>
      </w:r>
      <w:r w:rsidR="00E364FC" w:rsidRPr="00E371E1">
        <w:rPr>
          <w:rFonts w:ascii="Times New Roman" w:hAnsi="Times New Roman" w:cs="Times New Roman"/>
          <w:sz w:val="24"/>
          <w:szCs w:val="24"/>
        </w:rPr>
        <w:t>As is invariably the case, the same text appears, sometimes with deletions, but usually additions.</w:t>
      </w:r>
      <w:r w:rsidR="0003449D" w:rsidRPr="00E371E1">
        <w:rPr>
          <w:rStyle w:val="FootnoteReference"/>
          <w:rFonts w:ascii="Times New Roman" w:hAnsi="Times New Roman" w:cs="Times New Roman"/>
          <w:sz w:val="24"/>
          <w:szCs w:val="24"/>
        </w:rPr>
        <w:footnoteReference w:id="10"/>
      </w:r>
      <w:r w:rsidR="009B4EA3">
        <w:rPr>
          <w:rFonts w:ascii="Times New Roman" w:hAnsi="Times New Roman" w:cs="Times New Roman"/>
          <w:sz w:val="24"/>
          <w:szCs w:val="24"/>
        </w:rPr>
        <w:t xml:space="preserve"> </w:t>
      </w:r>
      <w:r w:rsidR="00E364FC" w:rsidRPr="00E371E1">
        <w:rPr>
          <w:rFonts w:ascii="Times New Roman" w:hAnsi="Times New Roman" w:cs="Times New Roman"/>
          <w:sz w:val="24"/>
          <w:szCs w:val="24"/>
        </w:rPr>
        <w:t>Paras 102 to 104 are unremarkable, and it is interesting that McCann is cited as the leading authority (to use English terminology) on article 2, substantive and procedural.</w:t>
      </w:r>
      <w:r w:rsidR="009B4EA3">
        <w:rPr>
          <w:rFonts w:ascii="Times New Roman" w:hAnsi="Times New Roman" w:cs="Times New Roman"/>
          <w:sz w:val="24"/>
          <w:szCs w:val="24"/>
        </w:rPr>
        <w:t xml:space="preserve"> </w:t>
      </w:r>
    </w:p>
    <w:p w14:paraId="5E2C72FF" w14:textId="77777777" w:rsidR="00E364FC" w:rsidRPr="00E371E1" w:rsidRDefault="00E364FC" w:rsidP="00E371E1">
      <w:pPr>
        <w:pStyle w:val="NoSpacing"/>
        <w:jc w:val="both"/>
        <w:rPr>
          <w:rFonts w:ascii="Times New Roman" w:hAnsi="Times New Roman" w:cs="Times New Roman"/>
          <w:sz w:val="24"/>
          <w:szCs w:val="24"/>
        </w:rPr>
      </w:pPr>
    </w:p>
    <w:p w14:paraId="26712886" w14:textId="47CD7C46" w:rsidR="00E364FC" w:rsidRPr="00E371E1" w:rsidRDefault="00E364FC"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Para 105 picked up the ‘by implic</w:t>
      </w:r>
      <w:r w:rsidR="00EB61A3" w:rsidRPr="00E371E1">
        <w:rPr>
          <w:rFonts w:ascii="Times New Roman" w:hAnsi="Times New Roman" w:cs="Times New Roman"/>
          <w:sz w:val="24"/>
          <w:szCs w:val="24"/>
        </w:rPr>
        <w:t>a</w:t>
      </w:r>
      <w:r w:rsidRPr="00E371E1">
        <w:rPr>
          <w:rFonts w:ascii="Times New Roman" w:hAnsi="Times New Roman" w:cs="Times New Roman"/>
          <w:sz w:val="24"/>
          <w:szCs w:val="24"/>
        </w:rPr>
        <w:t>tion’ drafting from McCann (para 161).</w:t>
      </w:r>
      <w:r w:rsidR="009B4EA3">
        <w:rPr>
          <w:rFonts w:ascii="Times New Roman" w:hAnsi="Times New Roman" w:cs="Times New Roman"/>
          <w:sz w:val="24"/>
          <w:szCs w:val="24"/>
        </w:rPr>
        <w:t xml:space="preserve"> </w:t>
      </w:r>
      <w:r w:rsidR="00EB61A3" w:rsidRPr="00E371E1">
        <w:rPr>
          <w:rFonts w:ascii="Times New Roman" w:hAnsi="Times New Roman" w:cs="Times New Roman"/>
          <w:sz w:val="24"/>
          <w:szCs w:val="24"/>
        </w:rPr>
        <w:t xml:space="preserve">The new text was: ‘The essential purpose of such investigation is to secure the effective implementation of the domestic laws which protect the right to life and, in those cases </w:t>
      </w:r>
      <w:r w:rsidR="00EB61A3" w:rsidRPr="00F040F3">
        <w:rPr>
          <w:rFonts w:ascii="Times New Roman" w:hAnsi="Times New Roman" w:cs="Times New Roman"/>
          <w:b/>
          <w:sz w:val="24"/>
          <w:szCs w:val="24"/>
        </w:rPr>
        <w:t>involving State agents or bodies,</w:t>
      </w:r>
      <w:r w:rsidR="00EB61A3" w:rsidRPr="00E371E1">
        <w:rPr>
          <w:rFonts w:ascii="Times New Roman" w:hAnsi="Times New Roman" w:cs="Times New Roman"/>
          <w:sz w:val="24"/>
          <w:szCs w:val="24"/>
        </w:rPr>
        <w:t xml:space="preserve"> to ensure their accountability for deaths occurring under their responsibility.</w:t>
      </w:r>
      <w:r w:rsidR="009B4EA3">
        <w:rPr>
          <w:rFonts w:ascii="Times New Roman" w:hAnsi="Times New Roman" w:cs="Times New Roman"/>
          <w:sz w:val="24"/>
          <w:szCs w:val="24"/>
        </w:rPr>
        <w:t xml:space="preserve"> </w:t>
      </w:r>
      <w:r w:rsidR="00EB61A3" w:rsidRPr="00E371E1">
        <w:rPr>
          <w:rFonts w:ascii="Times New Roman" w:hAnsi="Times New Roman" w:cs="Times New Roman"/>
          <w:sz w:val="24"/>
          <w:szCs w:val="24"/>
        </w:rPr>
        <w:t>What form of</w:t>
      </w:r>
      <w:r w:rsidR="00A24DBE" w:rsidRPr="00E371E1">
        <w:rPr>
          <w:rFonts w:ascii="Times New Roman" w:hAnsi="Times New Roman" w:cs="Times New Roman"/>
          <w:sz w:val="24"/>
          <w:szCs w:val="24"/>
        </w:rPr>
        <w:t xml:space="preserve"> investigation</w:t>
      </w:r>
      <w:r w:rsidR="00EB61A3" w:rsidRPr="00E371E1">
        <w:rPr>
          <w:rFonts w:ascii="Times New Roman" w:hAnsi="Times New Roman" w:cs="Times New Roman"/>
          <w:sz w:val="24"/>
          <w:szCs w:val="24"/>
        </w:rPr>
        <w:t xml:space="preserve"> will achieve these purposes may vary in different circumstances.</w:t>
      </w:r>
      <w:r w:rsidR="009B4EA3">
        <w:rPr>
          <w:rFonts w:ascii="Times New Roman" w:hAnsi="Times New Roman" w:cs="Times New Roman"/>
          <w:sz w:val="24"/>
          <w:szCs w:val="24"/>
        </w:rPr>
        <w:t xml:space="preserve"> </w:t>
      </w:r>
      <w:r w:rsidR="00EB61A3" w:rsidRPr="00E371E1">
        <w:rPr>
          <w:rFonts w:ascii="Times New Roman" w:hAnsi="Times New Roman" w:cs="Times New Roman"/>
          <w:sz w:val="24"/>
          <w:szCs w:val="24"/>
        </w:rPr>
        <w:t>However, whatever mode is employed, the authorities must act of their own motion, once the matter has come to their attention.</w:t>
      </w:r>
      <w:r w:rsidR="009B4EA3">
        <w:rPr>
          <w:rFonts w:ascii="Times New Roman" w:hAnsi="Times New Roman" w:cs="Times New Roman"/>
          <w:sz w:val="24"/>
          <w:szCs w:val="24"/>
        </w:rPr>
        <w:t xml:space="preserve"> </w:t>
      </w:r>
      <w:r w:rsidR="00EB61A3" w:rsidRPr="00E371E1">
        <w:rPr>
          <w:rFonts w:ascii="Times New Roman" w:hAnsi="Times New Roman" w:cs="Times New Roman"/>
          <w:sz w:val="24"/>
          <w:szCs w:val="24"/>
        </w:rPr>
        <w:t>They cannot leave it to the initiative of the next of kin either to lodge a formal complaint or to take responsibility for the conduct of any investigative procedures.’</w:t>
      </w:r>
    </w:p>
    <w:p w14:paraId="27817653" w14:textId="77777777" w:rsidR="00EB61A3" w:rsidRPr="00E371E1" w:rsidRDefault="00EB61A3" w:rsidP="00E371E1">
      <w:pPr>
        <w:pStyle w:val="NoSpacing"/>
        <w:jc w:val="both"/>
        <w:rPr>
          <w:rFonts w:ascii="Times New Roman" w:hAnsi="Times New Roman" w:cs="Times New Roman"/>
          <w:sz w:val="24"/>
          <w:szCs w:val="24"/>
        </w:rPr>
      </w:pPr>
    </w:p>
    <w:p w14:paraId="7E29DFF3" w14:textId="759B9E92" w:rsidR="00EB61A3" w:rsidRPr="00E371E1" w:rsidRDefault="00EB61A3"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The purpose was to ‘protect the right to life’.</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But the drafter </w:t>
      </w:r>
      <w:r w:rsidR="00CA008A" w:rsidRPr="00E371E1">
        <w:rPr>
          <w:rFonts w:ascii="Times New Roman" w:hAnsi="Times New Roman" w:cs="Times New Roman"/>
          <w:sz w:val="24"/>
          <w:szCs w:val="24"/>
        </w:rPr>
        <w:t xml:space="preserve">of the judgment </w:t>
      </w:r>
      <w:r w:rsidRPr="00E371E1">
        <w:rPr>
          <w:rFonts w:ascii="Times New Roman" w:hAnsi="Times New Roman" w:cs="Times New Roman"/>
          <w:sz w:val="24"/>
          <w:szCs w:val="24"/>
        </w:rPr>
        <w:t>seemed to suggest that was</w:t>
      </w:r>
      <w:r w:rsidR="00A24DBE" w:rsidRPr="00E371E1">
        <w:rPr>
          <w:rFonts w:ascii="Times New Roman" w:hAnsi="Times New Roman" w:cs="Times New Roman"/>
          <w:sz w:val="24"/>
          <w:szCs w:val="24"/>
        </w:rPr>
        <w:t xml:space="preserve"> only</w:t>
      </w:r>
      <w:r w:rsidRPr="00E371E1">
        <w:rPr>
          <w:rFonts w:ascii="Times New Roman" w:hAnsi="Times New Roman" w:cs="Times New Roman"/>
          <w:sz w:val="24"/>
          <w:szCs w:val="24"/>
        </w:rPr>
        <w:t xml:space="preserve"> ‘in those cases involving State agents or bodies’.</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So, the </w:t>
      </w:r>
      <w:r w:rsidRPr="00471489">
        <w:rPr>
          <w:rFonts w:ascii="Times New Roman" w:hAnsi="Times New Roman" w:cs="Times New Roman"/>
          <w:i/>
          <w:sz w:val="24"/>
          <w:szCs w:val="24"/>
        </w:rPr>
        <w:t>inter alios</w:t>
      </w:r>
      <w:r w:rsidRPr="00E371E1">
        <w:rPr>
          <w:rFonts w:ascii="Times New Roman" w:hAnsi="Times New Roman" w:cs="Times New Roman"/>
          <w:sz w:val="24"/>
          <w:szCs w:val="24"/>
        </w:rPr>
        <w:t xml:space="preserve"> in McCann simply disappeared, without argument and reasons.</w:t>
      </w:r>
      <w:r w:rsidR="009B4EA3">
        <w:rPr>
          <w:rFonts w:ascii="Times New Roman" w:hAnsi="Times New Roman" w:cs="Times New Roman"/>
          <w:sz w:val="24"/>
          <w:szCs w:val="24"/>
        </w:rPr>
        <w:t xml:space="preserve"> </w:t>
      </w:r>
      <w:r w:rsidR="00A24DBE" w:rsidRPr="00E371E1">
        <w:rPr>
          <w:rFonts w:ascii="Times New Roman" w:hAnsi="Times New Roman" w:cs="Times New Roman"/>
          <w:sz w:val="24"/>
          <w:szCs w:val="24"/>
        </w:rPr>
        <w:t>If that is not correct, is it not the case that only state killers are to be held to account?</w:t>
      </w:r>
      <w:r w:rsidR="009B4EA3">
        <w:rPr>
          <w:rFonts w:ascii="Times New Roman" w:hAnsi="Times New Roman" w:cs="Times New Roman"/>
          <w:sz w:val="24"/>
          <w:szCs w:val="24"/>
        </w:rPr>
        <w:t xml:space="preserve"> </w:t>
      </w:r>
      <w:r w:rsidR="00A24DBE" w:rsidRPr="00E371E1">
        <w:rPr>
          <w:rFonts w:ascii="Times New Roman" w:hAnsi="Times New Roman" w:cs="Times New Roman"/>
          <w:sz w:val="24"/>
          <w:szCs w:val="24"/>
        </w:rPr>
        <w:t>But, if this is so, what is the meaning of ‘these purposes’?</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Strasbourg turned its mind, in very few words, from the 100 per cent of NI killings to only the 10 per cent of state killings</w:t>
      </w:r>
      <w:r w:rsidR="00CF3795" w:rsidRPr="00E371E1">
        <w:rPr>
          <w:rFonts w:ascii="Times New Roman" w:hAnsi="Times New Roman" w:cs="Times New Roman"/>
          <w:sz w:val="24"/>
          <w:szCs w:val="24"/>
        </w:rPr>
        <w:t>, from the unlawful to the arguably lawful.</w:t>
      </w:r>
      <w:r w:rsidR="009B4EA3">
        <w:rPr>
          <w:rFonts w:ascii="Times New Roman" w:hAnsi="Times New Roman" w:cs="Times New Roman"/>
          <w:sz w:val="24"/>
          <w:szCs w:val="24"/>
        </w:rPr>
        <w:t xml:space="preserve"> </w:t>
      </w:r>
      <w:r w:rsidR="00A24DBE" w:rsidRPr="00E371E1">
        <w:rPr>
          <w:rFonts w:ascii="Times New Roman" w:hAnsi="Times New Roman" w:cs="Times New Roman"/>
          <w:sz w:val="24"/>
          <w:szCs w:val="24"/>
        </w:rPr>
        <w:t>It did so with little evident comprehension.</w:t>
      </w:r>
    </w:p>
    <w:p w14:paraId="50ADC691" w14:textId="77777777" w:rsidR="00EB61A3" w:rsidRPr="00E371E1" w:rsidRDefault="00EB61A3" w:rsidP="00E371E1">
      <w:pPr>
        <w:pStyle w:val="NoSpacing"/>
        <w:jc w:val="both"/>
        <w:rPr>
          <w:rFonts w:ascii="Times New Roman" w:hAnsi="Times New Roman" w:cs="Times New Roman"/>
          <w:sz w:val="24"/>
          <w:szCs w:val="24"/>
        </w:rPr>
      </w:pPr>
    </w:p>
    <w:p w14:paraId="222DC365" w14:textId="3D55E8C3" w:rsidR="00EB61A3" w:rsidRPr="00E371E1" w:rsidRDefault="00EB61A3"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Paras </w:t>
      </w:r>
      <w:r w:rsidR="00A24DBE" w:rsidRPr="00E371E1">
        <w:rPr>
          <w:rFonts w:ascii="Times New Roman" w:hAnsi="Times New Roman" w:cs="Times New Roman"/>
          <w:sz w:val="24"/>
          <w:szCs w:val="24"/>
        </w:rPr>
        <w:t xml:space="preserve">106 to 109 went on to spell out the elements of an investigation: independent investigators; an effective investigation, leading ‘to the identification and punishment of those responsible’ (para 107); </w:t>
      </w:r>
      <w:r w:rsidR="00B555BF" w:rsidRPr="00E371E1">
        <w:rPr>
          <w:rFonts w:ascii="Times New Roman" w:hAnsi="Times New Roman" w:cs="Times New Roman"/>
          <w:sz w:val="24"/>
          <w:szCs w:val="24"/>
        </w:rPr>
        <w:t>a requirement of promptness and reasonable expedition; and a sufficient element of public scrutiny – ‘in all cases,…the next-of-kin of the victim must be involved in the procedure to the extent necessary to safeguard his or her legitimate interests’.</w:t>
      </w:r>
    </w:p>
    <w:p w14:paraId="634428FD" w14:textId="77777777" w:rsidR="00B555BF" w:rsidRPr="00E371E1" w:rsidRDefault="00B555BF" w:rsidP="00E371E1">
      <w:pPr>
        <w:pStyle w:val="NoSpacing"/>
        <w:jc w:val="both"/>
        <w:rPr>
          <w:rFonts w:ascii="Times New Roman" w:hAnsi="Times New Roman" w:cs="Times New Roman"/>
          <w:sz w:val="24"/>
          <w:szCs w:val="24"/>
        </w:rPr>
      </w:pPr>
    </w:p>
    <w:p w14:paraId="23CF5031" w14:textId="7B3070A8" w:rsidR="00B555BF" w:rsidRPr="00E371E1" w:rsidRDefault="00CA008A" w:rsidP="00E371E1">
      <w:pPr>
        <w:pStyle w:val="NoSpacing"/>
        <w:jc w:val="both"/>
        <w:rPr>
          <w:rFonts w:ascii="Times New Roman" w:hAnsi="Times New Roman" w:cs="Times New Roman"/>
          <w:sz w:val="24"/>
          <w:szCs w:val="24"/>
        </w:rPr>
      </w:pPr>
      <w:proofErr w:type="gramStart"/>
      <w:r w:rsidRPr="00E371E1">
        <w:rPr>
          <w:rFonts w:ascii="Times New Roman" w:hAnsi="Times New Roman" w:cs="Times New Roman"/>
          <w:sz w:val="24"/>
          <w:szCs w:val="24"/>
        </w:rPr>
        <w:t>The victim’s legitimate interests</w:t>
      </w:r>
      <w:r w:rsidR="00CF3795" w:rsidRPr="00E371E1">
        <w:rPr>
          <w:rFonts w:ascii="Times New Roman" w:hAnsi="Times New Roman" w:cs="Times New Roman"/>
          <w:sz w:val="24"/>
          <w:szCs w:val="24"/>
        </w:rPr>
        <w:t>?</w:t>
      </w:r>
      <w:proofErr w:type="gramEnd"/>
      <w:r w:rsidRPr="00E371E1">
        <w:rPr>
          <w:rFonts w:ascii="Times New Roman" w:hAnsi="Times New Roman" w:cs="Times New Roman"/>
          <w:sz w:val="24"/>
          <w:szCs w:val="24"/>
        </w:rPr>
        <w:t xml:space="preserve"> </w:t>
      </w:r>
      <w:r w:rsidR="00B555BF" w:rsidRPr="00E371E1">
        <w:rPr>
          <w:rFonts w:ascii="Times New Roman" w:hAnsi="Times New Roman" w:cs="Times New Roman"/>
          <w:sz w:val="24"/>
          <w:szCs w:val="24"/>
        </w:rPr>
        <w:t xml:space="preserve">The Kelly case was brought by relatives of the eight IRA men killed by UK </w:t>
      </w:r>
      <w:proofErr w:type="gramStart"/>
      <w:r w:rsidR="00B555BF" w:rsidRPr="00E371E1">
        <w:rPr>
          <w:rFonts w:ascii="Times New Roman" w:hAnsi="Times New Roman" w:cs="Times New Roman"/>
          <w:sz w:val="24"/>
          <w:szCs w:val="24"/>
        </w:rPr>
        <w:t>special forces</w:t>
      </w:r>
      <w:proofErr w:type="gramEnd"/>
      <w:r w:rsidR="00B555BF" w:rsidRPr="00E371E1">
        <w:rPr>
          <w:rFonts w:ascii="Times New Roman" w:hAnsi="Times New Roman" w:cs="Times New Roman"/>
          <w:sz w:val="24"/>
          <w:szCs w:val="24"/>
        </w:rPr>
        <w:t>, defending Loughgall police stat</w:t>
      </w:r>
      <w:r w:rsidR="00F040F3">
        <w:rPr>
          <w:rFonts w:ascii="Times New Roman" w:hAnsi="Times New Roman" w:cs="Times New Roman"/>
          <w:sz w:val="24"/>
          <w:szCs w:val="24"/>
        </w:rPr>
        <w:t>ion</w:t>
      </w:r>
      <w:r w:rsidR="00B555BF" w:rsidRPr="00E371E1">
        <w:rPr>
          <w:rFonts w:ascii="Times New Roman" w:hAnsi="Times New Roman" w:cs="Times New Roman"/>
          <w:sz w:val="24"/>
          <w:szCs w:val="24"/>
        </w:rPr>
        <w:t xml:space="preserve"> in May 1987.</w:t>
      </w:r>
      <w:r w:rsidR="009B4EA3">
        <w:rPr>
          <w:rFonts w:ascii="Times New Roman" w:hAnsi="Times New Roman" w:cs="Times New Roman"/>
          <w:sz w:val="24"/>
          <w:szCs w:val="24"/>
        </w:rPr>
        <w:t xml:space="preserve"> </w:t>
      </w:r>
      <w:r w:rsidR="00B555BF" w:rsidRPr="00E371E1">
        <w:rPr>
          <w:rFonts w:ascii="Times New Roman" w:hAnsi="Times New Roman" w:cs="Times New Roman"/>
          <w:sz w:val="24"/>
          <w:szCs w:val="24"/>
        </w:rPr>
        <w:t>Some were quoted subsequently arguing</w:t>
      </w:r>
      <w:r w:rsidR="0003449D" w:rsidRPr="00E371E1">
        <w:rPr>
          <w:rFonts w:ascii="Times New Roman" w:hAnsi="Times New Roman" w:cs="Times New Roman"/>
          <w:sz w:val="24"/>
          <w:szCs w:val="24"/>
        </w:rPr>
        <w:t>, in the alternative,</w:t>
      </w:r>
      <w:r w:rsidR="00B555BF" w:rsidRPr="00E371E1">
        <w:rPr>
          <w:rFonts w:ascii="Times New Roman" w:hAnsi="Times New Roman" w:cs="Times New Roman"/>
          <w:sz w:val="24"/>
          <w:szCs w:val="24"/>
        </w:rPr>
        <w:t xml:space="preserve"> for the arrest of their loved ones.</w:t>
      </w:r>
      <w:r w:rsidR="009B4EA3">
        <w:rPr>
          <w:rFonts w:ascii="Times New Roman" w:hAnsi="Times New Roman" w:cs="Times New Roman"/>
          <w:sz w:val="24"/>
          <w:szCs w:val="24"/>
        </w:rPr>
        <w:t xml:space="preserve"> </w:t>
      </w:r>
      <w:r w:rsidR="00B555BF" w:rsidRPr="00E371E1">
        <w:rPr>
          <w:rFonts w:ascii="Times New Roman" w:hAnsi="Times New Roman" w:cs="Times New Roman"/>
          <w:sz w:val="24"/>
          <w:szCs w:val="24"/>
        </w:rPr>
        <w:t>Had they, or had they not, counselled their IRA family member when alive?</w:t>
      </w:r>
      <w:r w:rsidR="009B4EA3">
        <w:rPr>
          <w:rFonts w:ascii="Times New Roman" w:hAnsi="Times New Roman" w:cs="Times New Roman"/>
          <w:sz w:val="24"/>
          <w:szCs w:val="24"/>
        </w:rPr>
        <w:t xml:space="preserve"> </w:t>
      </w:r>
      <w:r w:rsidR="00B555BF" w:rsidRPr="00E371E1">
        <w:rPr>
          <w:rFonts w:ascii="Times New Roman" w:hAnsi="Times New Roman" w:cs="Times New Roman"/>
          <w:sz w:val="24"/>
          <w:szCs w:val="24"/>
        </w:rPr>
        <w:t>Had they, or had they not, considered reporting IRA activity to the authorities?</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And what were the legitimate </w:t>
      </w:r>
      <w:r w:rsidRPr="00E371E1">
        <w:rPr>
          <w:rFonts w:ascii="Times New Roman" w:hAnsi="Times New Roman" w:cs="Times New Roman"/>
          <w:sz w:val="24"/>
          <w:szCs w:val="24"/>
        </w:rPr>
        <w:lastRenderedPageBreak/>
        <w:t>interests of the eight IRA members?</w:t>
      </w:r>
      <w:r w:rsidR="009B4EA3">
        <w:rPr>
          <w:rFonts w:ascii="Times New Roman" w:hAnsi="Times New Roman" w:cs="Times New Roman"/>
          <w:sz w:val="24"/>
          <w:szCs w:val="24"/>
        </w:rPr>
        <w:t xml:space="preserve"> </w:t>
      </w:r>
      <w:r w:rsidR="00076676" w:rsidRPr="00E371E1">
        <w:rPr>
          <w:rFonts w:ascii="Times New Roman" w:hAnsi="Times New Roman" w:cs="Times New Roman"/>
          <w:sz w:val="24"/>
          <w:szCs w:val="24"/>
        </w:rPr>
        <w:t>To be prevented from engaging in terrorism by peaceful means only?</w:t>
      </w:r>
      <w:r w:rsidR="009B4EA3">
        <w:rPr>
          <w:rFonts w:ascii="Times New Roman" w:hAnsi="Times New Roman" w:cs="Times New Roman"/>
          <w:sz w:val="24"/>
          <w:szCs w:val="24"/>
        </w:rPr>
        <w:t xml:space="preserve"> </w:t>
      </w:r>
      <w:r w:rsidR="00CF3795" w:rsidRPr="00E371E1">
        <w:rPr>
          <w:rFonts w:ascii="Times New Roman" w:hAnsi="Times New Roman" w:cs="Times New Roman"/>
          <w:sz w:val="24"/>
          <w:szCs w:val="24"/>
        </w:rPr>
        <w:t>If so, the IRA would have won, and not lost.</w:t>
      </w:r>
      <w:r w:rsidR="009B4EA3">
        <w:rPr>
          <w:rFonts w:ascii="Times New Roman" w:hAnsi="Times New Roman" w:cs="Times New Roman"/>
          <w:sz w:val="24"/>
          <w:szCs w:val="24"/>
        </w:rPr>
        <w:t xml:space="preserve"> </w:t>
      </w:r>
    </w:p>
    <w:p w14:paraId="74F0341B" w14:textId="77777777" w:rsidR="00D84600" w:rsidRPr="00E371E1" w:rsidRDefault="00D84600" w:rsidP="00E371E1">
      <w:pPr>
        <w:pStyle w:val="NoSpacing"/>
        <w:jc w:val="both"/>
        <w:rPr>
          <w:rFonts w:ascii="Times New Roman" w:hAnsi="Times New Roman" w:cs="Times New Roman"/>
          <w:sz w:val="24"/>
          <w:szCs w:val="24"/>
        </w:rPr>
      </w:pPr>
    </w:p>
    <w:p w14:paraId="29DCCA14" w14:textId="1EA23202" w:rsidR="007C1538" w:rsidRPr="00E371E1" w:rsidRDefault="00AC1F5C"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The perpetrators i</w:t>
      </w:r>
      <w:r w:rsidR="007C1538" w:rsidRPr="00E371E1">
        <w:rPr>
          <w:rFonts w:ascii="Times New Roman" w:hAnsi="Times New Roman" w:cs="Times New Roman"/>
          <w:sz w:val="24"/>
          <w:szCs w:val="24"/>
        </w:rPr>
        <w:t>n</w:t>
      </w:r>
      <w:r w:rsidRPr="00E371E1">
        <w:rPr>
          <w:rFonts w:ascii="Times New Roman" w:hAnsi="Times New Roman" w:cs="Times New Roman"/>
          <w:sz w:val="24"/>
          <w:szCs w:val="24"/>
        </w:rPr>
        <w:t xml:space="preserve"> the four Jordan cases were: Jordan, the </w:t>
      </w:r>
      <w:r w:rsidR="00076676" w:rsidRPr="00E371E1">
        <w:rPr>
          <w:rFonts w:ascii="Times New Roman" w:hAnsi="Times New Roman" w:cs="Times New Roman"/>
          <w:sz w:val="24"/>
          <w:szCs w:val="24"/>
        </w:rPr>
        <w:t>Royal Ulster Consta</w:t>
      </w:r>
      <w:r w:rsidR="00CF3795" w:rsidRPr="00E371E1">
        <w:rPr>
          <w:rFonts w:ascii="Times New Roman" w:hAnsi="Times New Roman" w:cs="Times New Roman"/>
          <w:sz w:val="24"/>
          <w:szCs w:val="24"/>
        </w:rPr>
        <w:t>b</w:t>
      </w:r>
      <w:r w:rsidR="00076676" w:rsidRPr="00E371E1">
        <w:rPr>
          <w:rFonts w:ascii="Times New Roman" w:hAnsi="Times New Roman" w:cs="Times New Roman"/>
          <w:sz w:val="24"/>
          <w:szCs w:val="24"/>
        </w:rPr>
        <w:t>ulary (‘</w:t>
      </w:r>
      <w:r w:rsidRPr="00E371E1">
        <w:rPr>
          <w:rFonts w:ascii="Times New Roman" w:hAnsi="Times New Roman" w:cs="Times New Roman"/>
          <w:sz w:val="24"/>
          <w:szCs w:val="24"/>
        </w:rPr>
        <w:t>RUC</w:t>
      </w:r>
      <w:r w:rsidR="00076676" w:rsidRPr="00E371E1">
        <w:rPr>
          <w:rFonts w:ascii="Times New Roman" w:hAnsi="Times New Roman" w:cs="Times New Roman"/>
          <w:sz w:val="24"/>
          <w:szCs w:val="24"/>
        </w:rPr>
        <w:t>’)</w:t>
      </w:r>
      <w:r w:rsidRPr="00E371E1">
        <w:rPr>
          <w:rFonts w:ascii="Times New Roman" w:hAnsi="Times New Roman" w:cs="Times New Roman"/>
          <w:sz w:val="24"/>
          <w:szCs w:val="24"/>
        </w:rPr>
        <w:t>; McKerr, the RUC; Kelly, the army; and Shanaghan, this was different.</w:t>
      </w:r>
      <w:r w:rsidR="009B4EA3">
        <w:rPr>
          <w:rFonts w:ascii="Times New Roman" w:hAnsi="Times New Roman" w:cs="Times New Roman"/>
          <w:sz w:val="24"/>
          <w:szCs w:val="24"/>
        </w:rPr>
        <w:t xml:space="preserve"> </w:t>
      </w:r>
    </w:p>
    <w:p w14:paraId="16413B2F" w14:textId="77777777" w:rsidR="007C1538" w:rsidRPr="00E371E1" w:rsidRDefault="007C1538" w:rsidP="00E371E1">
      <w:pPr>
        <w:pStyle w:val="NoSpacing"/>
        <w:jc w:val="both"/>
        <w:rPr>
          <w:rFonts w:ascii="Times New Roman" w:hAnsi="Times New Roman" w:cs="Times New Roman"/>
          <w:sz w:val="24"/>
          <w:szCs w:val="24"/>
        </w:rPr>
      </w:pPr>
    </w:p>
    <w:p w14:paraId="60AF9E33" w14:textId="0C5EDD76" w:rsidR="007C1538" w:rsidRPr="00E371E1" w:rsidRDefault="00AC1F5C"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The judgment </w:t>
      </w:r>
      <w:r w:rsidR="007C1538" w:rsidRPr="00E371E1">
        <w:rPr>
          <w:rFonts w:ascii="Times New Roman" w:hAnsi="Times New Roman" w:cs="Times New Roman"/>
          <w:sz w:val="24"/>
          <w:szCs w:val="24"/>
        </w:rPr>
        <w:t>reports the following facts</w:t>
      </w:r>
      <w:r w:rsidR="00CF3795" w:rsidRPr="00E371E1">
        <w:rPr>
          <w:rFonts w:ascii="Times New Roman" w:hAnsi="Times New Roman" w:cs="Times New Roman"/>
          <w:sz w:val="24"/>
          <w:szCs w:val="24"/>
        </w:rPr>
        <w:t xml:space="preserve"> about the fourth case</w:t>
      </w:r>
      <w:r w:rsidR="007C1538" w:rsidRPr="00E371E1">
        <w:rPr>
          <w:rFonts w:ascii="Times New Roman" w:hAnsi="Times New Roman" w:cs="Times New Roman"/>
          <w:sz w:val="24"/>
          <w:szCs w:val="24"/>
        </w:rPr>
        <w:t>: ‘Patrick Shanaghan was a[n]…active member of Sinn Fein when he was killed.</w:t>
      </w:r>
      <w:r w:rsidR="009B4EA3">
        <w:rPr>
          <w:rFonts w:ascii="Times New Roman" w:hAnsi="Times New Roman" w:cs="Times New Roman"/>
          <w:sz w:val="24"/>
          <w:szCs w:val="24"/>
        </w:rPr>
        <w:t xml:space="preserve"> </w:t>
      </w:r>
      <w:r w:rsidR="007C1538" w:rsidRPr="00E371E1">
        <w:rPr>
          <w:rFonts w:ascii="Times New Roman" w:hAnsi="Times New Roman" w:cs="Times New Roman"/>
          <w:sz w:val="24"/>
          <w:szCs w:val="24"/>
        </w:rPr>
        <w:t>The Royal Ulster Constabulary (RUC) suspected him of being an IRA member and that he was involved in terrorism…The RUC warned Patrick Shanaghan twice that he was under potential threats from loyalist paramilitary groups…On 27 April 1991, Sergeant Norden of the RUC called at Mr Shanaghan’s home and informed him that he had received information to suggest that he was being targeted by loyalists…The UFF (Ulster Freedom Fight</w:t>
      </w:r>
      <w:r w:rsidR="00F040F3">
        <w:rPr>
          <w:rFonts w:ascii="Times New Roman" w:hAnsi="Times New Roman" w:cs="Times New Roman"/>
          <w:sz w:val="24"/>
          <w:szCs w:val="24"/>
        </w:rPr>
        <w:t>er</w:t>
      </w:r>
      <w:r w:rsidR="007C1538" w:rsidRPr="00E371E1">
        <w:rPr>
          <w:rFonts w:ascii="Times New Roman" w:hAnsi="Times New Roman" w:cs="Times New Roman"/>
          <w:sz w:val="24"/>
          <w:szCs w:val="24"/>
        </w:rPr>
        <w:t>s – a loyalist organisation) later claimed responsibility for the murder in the local press.’ (</w:t>
      </w:r>
      <w:proofErr w:type="gramStart"/>
      <w:r w:rsidR="007C1538" w:rsidRPr="00E371E1">
        <w:rPr>
          <w:rFonts w:ascii="Times New Roman" w:hAnsi="Times New Roman" w:cs="Times New Roman"/>
          <w:sz w:val="24"/>
          <w:szCs w:val="24"/>
        </w:rPr>
        <w:t>paras</w:t>
      </w:r>
      <w:proofErr w:type="gramEnd"/>
      <w:r w:rsidR="007C1538" w:rsidRPr="00E371E1">
        <w:rPr>
          <w:rFonts w:ascii="Times New Roman" w:hAnsi="Times New Roman" w:cs="Times New Roman"/>
          <w:sz w:val="24"/>
          <w:szCs w:val="24"/>
        </w:rPr>
        <w:t xml:space="preserve"> 12, 13, 18 &amp; 21)</w:t>
      </w:r>
    </w:p>
    <w:p w14:paraId="19080375" w14:textId="77777777" w:rsidR="007C1538" w:rsidRPr="00E371E1" w:rsidRDefault="007C1538" w:rsidP="00E371E1">
      <w:pPr>
        <w:pStyle w:val="NoSpacing"/>
        <w:jc w:val="both"/>
        <w:rPr>
          <w:rFonts w:ascii="Times New Roman" w:hAnsi="Times New Roman" w:cs="Times New Roman"/>
          <w:sz w:val="24"/>
          <w:szCs w:val="24"/>
        </w:rPr>
      </w:pPr>
    </w:p>
    <w:p w14:paraId="14B258DE" w14:textId="1CAC6619" w:rsidR="007C1538" w:rsidRPr="00E371E1" w:rsidRDefault="007C1538"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Yet, </w:t>
      </w:r>
      <w:r w:rsidR="00B17E77" w:rsidRPr="00E371E1">
        <w:rPr>
          <w:rFonts w:ascii="Times New Roman" w:hAnsi="Times New Roman" w:cs="Times New Roman"/>
          <w:sz w:val="24"/>
          <w:szCs w:val="24"/>
        </w:rPr>
        <w:t>in paras 85 to 92, Strasbourg simply applie</w:t>
      </w:r>
      <w:r w:rsidR="00CF3795" w:rsidRPr="00E371E1">
        <w:rPr>
          <w:rFonts w:ascii="Times New Roman" w:hAnsi="Times New Roman" w:cs="Times New Roman"/>
          <w:sz w:val="24"/>
          <w:szCs w:val="24"/>
        </w:rPr>
        <w:t>d</w:t>
      </w:r>
      <w:r w:rsidR="00B17E77" w:rsidRPr="00E371E1">
        <w:rPr>
          <w:rFonts w:ascii="Times New Roman" w:hAnsi="Times New Roman" w:cs="Times New Roman"/>
          <w:sz w:val="24"/>
          <w:szCs w:val="24"/>
        </w:rPr>
        <w:t xml:space="preserve"> the same law, which distinguishe</w:t>
      </w:r>
      <w:r w:rsidR="00CF3795" w:rsidRPr="00E371E1">
        <w:rPr>
          <w:rFonts w:ascii="Times New Roman" w:hAnsi="Times New Roman" w:cs="Times New Roman"/>
          <w:sz w:val="24"/>
          <w:szCs w:val="24"/>
        </w:rPr>
        <w:t>d</w:t>
      </w:r>
      <w:r w:rsidR="00017D5B" w:rsidRPr="00E371E1">
        <w:rPr>
          <w:rFonts w:ascii="Times New Roman" w:hAnsi="Times New Roman" w:cs="Times New Roman"/>
          <w:sz w:val="24"/>
          <w:szCs w:val="24"/>
        </w:rPr>
        <w:t xml:space="preserve"> </w:t>
      </w:r>
      <w:r w:rsidR="00B17E77" w:rsidRPr="00E371E1">
        <w:rPr>
          <w:rFonts w:ascii="Times New Roman" w:hAnsi="Times New Roman" w:cs="Times New Roman"/>
          <w:sz w:val="24"/>
          <w:szCs w:val="24"/>
        </w:rPr>
        <w:t xml:space="preserve">paramilitary killings as </w:t>
      </w:r>
      <w:r w:rsidR="00017D5B" w:rsidRPr="00E371E1">
        <w:rPr>
          <w:rFonts w:ascii="Times New Roman" w:hAnsi="Times New Roman" w:cs="Times New Roman"/>
          <w:sz w:val="24"/>
          <w:szCs w:val="24"/>
        </w:rPr>
        <w:t xml:space="preserve">not </w:t>
      </w:r>
      <w:r w:rsidR="00B17E77" w:rsidRPr="00E371E1">
        <w:rPr>
          <w:rFonts w:ascii="Times New Roman" w:hAnsi="Times New Roman" w:cs="Times New Roman"/>
          <w:sz w:val="24"/>
          <w:szCs w:val="24"/>
        </w:rPr>
        <w:t>requiring investigations.</w:t>
      </w:r>
      <w:r w:rsidR="009B4EA3">
        <w:rPr>
          <w:rFonts w:ascii="Times New Roman" w:hAnsi="Times New Roman" w:cs="Times New Roman"/>
          <w:sz w:val="24"/>
          <w:szCs w:val="24"/>
        </w:rPr>
        <w:t xml:space="preserve"> </w:t>
      </w:r>
      <w:r w:rsidR="00B17E77" w:rsidRPr="00E371E1">
        <w:rPr>
          <w:rFonts w:ascii="Times New Roman" w:hAnsi="Times New Roman" w:cs="Times New Roman"/>
          <w:sz w:val="24"/>
          <w:szCs w:val="24"/>
        </w:rPr>
        <w:t xml:space="preserve">In paras 93 to 125, applying the law to the facts, and finding a violation of article 2 procedural, the judgment begins: ‘[His mother’s] complaints centred on her allegations that the RUC or other members of the security forces assisted the loyalist gunmen </w:t>
      </w:r>
      <w:r w:rsidR="00B17E77" w:rsidRPr="00E371E1">
        <w:rPr>
          <w:rFonts w:ascii="Times New Roman" w:hAnsi="Times New Roman" w:cs="Times New Roman"/>
          <w:i/>
          <w:iCs/>
          <w:sz w:val="24"/>
          <w:szCs w:val="24"/>
        </w:rPr>
        <w:t>inter alia</w:t>
      </w:r>
      <w:r w:rsidR="00B17E77" w:rsidRPr="00E371E1">
        <w:rPr>
          <w:rFonts w:ascii="Times New Roman" w:hAnsi="Times New Roman" w:cs="Times New Roman"/>
          <w:sz w:val="24"/>
          <w:szCs w:val="24"/>
        </w:rPr>
        <w:t xml:space="preserve"> by providing information for the purposes of targeting Patrick Shanaghan and by facilitating the gunman’s task, before the event, by their dispersal of men away from the area and, after the event, by making sure that Patrick Shanaghan received no medical assistance, and taking inadequate steps to locate or apprehend the perpetrator.</w:t>
      </w:r>
      <w:r w:rsidR="009B4EA3">
        <w:rPr>
          <w:rFonts w:ascii="Times New Roman" w:hAnsi="Times New Roman" w:cs="Times New Roman"/>
          <w:sz w:val="24"/>
          <w:szCs w:val="24"/>
        </w:rPr>
        <w:t xml:space="preserve"> </w:t>
      </w:r>
      <w:r w:rsidR="008A65D2"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8A65D2" w:rsidRPr="00E371E1">
        <w:rPr>
          <w:rFonts w:ascii="Times New Roman" w:hAnsi="Times New Roman" w:cs="Times New Roman"/>
          <w:sz w:val="24"/>
          <w:szCs w:val="24"/>
        </w:rPr>
        <w:t>If these allegations were true, serious issues would arise as to whether Patrick Shanaghan’s right to life had been protected by law as required by Article 2 of the Convention and as to whether the degree of collusion attracted State responsibility in respect of the killing itself.</w:t>
      </w:r>
      <w:r w:rsidR="00B17E77"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8A65D2" w:rsidRPr="00E371E1">
        <w:rPr>
          <w:rFonts w:ascii="Times New Roman" w:hAnsi="Times New Roman" w:cs="Times New Roman"/>
          <w:sz w:val="24"/>
          <w:szCs w:val="24"/>
        </w:rPr>
        <w:t>(</w:t>
      </w:r>
      <w:proofErr w:type="gramStart"/>
      <w:r w:rsidR="008A65D2" w:rsidRPr="00E371E1">
        <w:rPr>
          <w:rFonts w:ascii="Times New Roman" w:hAnsi="Times New Roman" w:cs="Times New Roman"/>
          <w:sz w:val="24"/>
          <w:szCs w:val="24"/>
        </w:rPr>
        <w:t>paras</w:t>
      </w:r>
      <w:proofErr w:type="gramEnd"/>
      <w:r w:rsidR="008A65D2" w:rsidRPr="00E371E1">
        <w:rPr>
          <w:rFonts w:ascii="Times New Roman" w:hAnsi="Times New Roman" w:cs="Times New Roman"/>
          <w:sz w:val="24"/>
          <w:szCs w:val="24"/>
        </w:rPr>
        <w:t xml:space="preserve"> 93-4)</w:t>
      </w:r>
      <w:r w:rsidR="009B4EA3">
        <w:rPr>
          <w:rFonts w:ascii="Times New Roman" w:hAnsi="Times New Roman" w:cs="Times New Roman"/>
          <w:sz w:val="24"/>
          <w:szCs w:val="24"/>
        </w:rPr>
        <w:t xml:space="preserve"> </w:t>
      </w:r>
      <w:r w:rsidR="008A65D2" w:rsidRPr="00E371E1">
        <w:rPr>
          <w:rFonts w:ascii="Times New Roman" w:hAnsi="Times New Roman" w:cs="Times New Roman"/>
          <w:sz w:val="24"/>
          <w:szCs w:val="24"/>
        </w:rPr>
        <w:t>It seems that only collusion cases are admissible?</w:t>
      </w:r>
      <w:r w:rsidR="009B4EA3">
        <w:rPr>
          <w:rFonts w:ascii="Times New Roman" w:hAnsi="Times New Roman" w:cs="Times New Roman"/>
          <w:sz w:val="24"/>
          <w:szCs w:val="24"/>
        </w:rPr>
        <w:t xml:space="preserve"> </w:t>
      </w:r>
      <w:r w:rsidR="008A65D2" w:rsidRPr="00E371E1">
        <w:rPr>
          <w:rFonts w:ascii="Times New Roman" w:hAnsi="Times New Roman" w:cs="Times New Roman"/>
          <w:sz w:val="24"/>
          <w:szCs w:val="24"/>
        </w:rPr>
        <w:t>But what is the basis of that, where Strasbourg made clear it was not making any findings of fact?</w:t>
      </w:r>
      <w:r w:rsidR="009B4EA3">
        <w:rPr>
          <w:rFonts w:ascii="Times New Roman" w:hAnsi="Times New Roman" w:cs="Times New Roman"/>
          <w:sz w:val="24"/>
          <w:szCs w:val="24"/>
        </w:rPr>
        <w:t xml:space="preserve"> </w:t>
      </w:r>
      <w:r w:rsidR="00076676" w:rsidRPr="00E371E1">
        <w:rPr>
          <w:rFonts w:ascii="Times New Roman" w:hAnsi="Times New Roman" w:cs="Times New Roman"/>
          <w:sz w:val="24"/>
          <w:szCs w:val="24"/>
        </w:rPr>
        <w:t xml:space="preserve">An allegation of collusion, without evidence, and with </w:t>
      </w:r>
      <w:r w:rsidR="006505CD" w:rsidRPr="00E371E1">
        <w:rPr>
          <w:rFonts w:ascii="Times New Roman" w:hAnsi="Times New Roman" w:cs="Times New Roman"/>
          <w:sz w:val="24"/>
          <w:szCs w:val="24"/>
        </w:rPr>
        <w:t>several</w:t>
      </w:r>
      <w:r w:rsidR="00076676" w:rsidRPr="00E371E1">
        <w:rPr>
          <w:rFonts w:ascii="Times New Roman" w:hAnsi="Times New Roman" w:cs="Times New Roman"/>
          <w:sz w:val="24"/>
          <w:szCs w:val="24"/>
        </w:rPr>
        <w:t xml:space="preserve"> possible explanations for why a person may believe something (as Mrs Shanaghan did), is, in law, normally of </w:t>
      </w:r>
      <w:r w:rsidR="006505CD" w:rsidRPr="00E371E1">
        <w:rPr>
          <w:rFonts w:ascii="Times New Roman" w:hAnsi="Times New Roman" w:cs="Times New Roman"/>
          <w:sz w:val="24"/>
          <w:szCs w:val="24"/>
        </w:rPr>
        <w:t>little</w:t>
      </w:r>
      <w:r w:rsidR="00076676" w:rsidRPr="00E371E1">
        <w:rPr>
          <w:rFonts w:ascii="Times New Roman" w:hAnsi="Times New Roman" w:cs="Times New Roman"/>
          <w:sz w:val="24"/>
          <w:szCs w:val="24"/>
        </w:rPr>
        <w:t xml:space="preserve"> consequence.</w:t>
      </w:r>
      <w:r w:rsidR="009B4EA3">
        <w:rPr>
          <w:rFonts w:ascii="Times New Roman" w:hAnsi="Times New Roman" w:cs="Times New Roman"/>
          <w:sz w:val="24"/>
          <w:szCs w:val="24"/>
        </w:rPr>
        <w:t xml:space="preserve"> </w:t>
      </w:r>
      <w:r w:rsidR="00076676" w:rsidRPr="00E371E1">
        <w:rPr>
          <w:rFonts w:ascii="Times New Roman" w:hAnsi="Times New Roman" w:cs="Times New Roman"/>
          <w:sz w:val="24"/>
          <w:szCs w:val="24"/>
        </w:rPr>
        <w:t>But Strasbourg seems to have treated such allegations as, not just credible, but possibly or probably true.</w:t>
      </w:r>
    </w:p>
    <w:p w14:paraId="7A17088A" w14:textId="77777777" w:rsidR="007C1538" w:rsidRPr="00E371E1" w:rsidRDefault="007C1538" w:rsidP="00E371E1">
      <w:pPr>
        <w:pStyle w:val="NoSpacing"/>
        <w:jc w:val="both"/>
        <w:rPr>
          <w:rFonts w:ascii="Times New Roman" w:hAnsi="Times New Roman" w:cs="Times New Roman"/>
          <w:sz w:val="24"/>
          <w:szCs w:val="24"/>
        </w:rPr>
      </w:pPr>
    </w:p>
    <w:p w14:paraId="7F2AB738" w14:textId="706078DB" w:rsidR="00AC1F5C" w:rsidRPr="00E371E1" w:rsidRDefault="0003449D"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A number of submissions </w:t>
      </w:r>
      <w:proofErr w:type="gramStart"/>
      <w:r w:rsidRPr="00E371E1">
        <w:rPr>
          <w:rFonts w:ascii="Times New Roman" w:hAnsi="Times New Roman" w:cs="Times New Roman"/>
          <w:sz w:val="24"/>
          <w:szCs w:val="24"/>
        </w:rPr>
        <w:t>is</w:t>
      </w:r>
      <w:proofErr w:type="gramEnd"/>
      <w:r w:rsidRPr="00E371E1">
        <w:rPr>
          <w:rFonts w:ascii="Times New Roman" w:hAnsi="Times New Roman" w:cs="Times New Roman"/>
          <w:sz w:val="24"/>
          <w:szCs w:val="24"/>
        </w:rPr>
        <w:t xml:space="preserve"> necessary.</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First, Strasbourg was clear that, in paras 102 to 109 of Jordan, it was making new law</w:t>
      </w:r>
      <w:r w:rsidR="00D84600" w:rsidRPr="00E371E1">
        <w:rPr>
          <w:rFonts w:ascii="Times New Roman" w:hAnsi="Times New Roman" w:cs="Times New Roman"/>
          <w:sz w:val="24"/>
          <w:szCs w:val="24"/>
        </w:rPr>
        <w:t xml:space="preserve"> in May 2001</w:t>
      </w:r>
      <w:r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This law was, therefore, retrospective to 1982</w:t>
      </w:r>
      <w:r w:rsidR="00017D5B" w:rsidRPr="00E371E1">
        <w:rPr>
          <w:rFonts w:ascii="Times New Roman" w:hAnsi="Times New Roman" w:cs="Times New Roman"/>
          <w:sz w:val="24"/>
          <w:szCs w:val="24"/>
        </w:rPr>
        <w:t>, given the facts in Kelly</w:t>
      </w:r>
      <w:r w:rsidR="00D84600"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D84600" w:rsidRPr="00E371E1">
        <w:rPr>
          <w:rFonts w:ascii="Times New Roman" w:hAnsi="Times New Roman" w:cs="Times New Roman"/>
          <w:sz w:val="24"/>
          <w:szCs w:val="24"/>
        </w:rPr>
        <w:t xml:space="preserve">It was never suggested that the RUC should have done in 1982 what the </w:t>
      </w:r>
      <w:r w:rsidR="00F040F3">
        <w:rPr>
          <w:rFonts w:ascii="Times New Roman" w:hAnsi="Times New Roman" w:cs="Times New Roman"/>
          <w:sz w:val="24"/>
          <w:szCs w:val="24"/>
        </w:rPr>
        <w:t>Police S</w:t>
      </w:r>
      <w:r w:rsidR="00076676" w:rsidRPr="00E371E1">
        <w:rPr>
          <w:rFonts w:ascii="Times New Roman" w:hAnsi="Times New Roman" w:cs="Times New Roman"/>
          <w:sz w:val="24"/>
          <w:szCs w:val="24"/>
        </w:rPr>
        <w:t>ervice of N</w:t>
      </w:r>
      <w:r w:rsidR="00F040F3">
        <w:rPr>
          <w:rFonts w:ascii="Times New Roman" w:hAnsi="Times New Roman" w:cs="Times New Roman"/>
          <w:sz w:val="24"/>
          <w:szCs w:val="24"/>
        </w:rPr>
        <w:t>orthern Ireland</w:t>
      </w:r>
      <w:r w:rsidR="00076676" w:rsidRPr="00E371E1">
        <w:rPr>
          <w:rFonts w:ascii="Times New Roman" w:hAnsi="Times New Roman" w:cs="Times New Roman"/>
          <w:sz w:val="24"/>
          <w:szCs w:val="24"/>
        </w:rPr>
        <w:t xml:space="preserve"> (‘</w:t>
      </w:r>
      <w:r w:rsidR="00D84600" w:rsidRPr="00E371E1">
        <w:rPr>
          <w:rFonts w:ascii="Times New Roman" w:hAnsi="Times New Roman" w:cs="Times New Roman"/>
          <w:sz w:val="24"/>
          <w:szCs w:val="24"/>
        </w:rPr>
        <w:t>PSNI</w:t>
      </w:r>
      <w:r w:rsidR="00076676" w:rsidRPr="00E371E1">
        <w:rPr>
          <w:rFonts w:ascii="Times New Roman" w:hAnsi="Times New Roman" w:cs="Times New Roman"/>
          <w:sz w:val="24"/>
          <w:szCs w:val="24"/>
        </w:rPr>
        <w:t>’)</w:t>
      </w:r>
      <w:r w:rsidR="00D84600" w:rsidRPr="00E371E1">
        <w:rPr>
          <w:rFonts w:ascii="Times New Roman" w:hAnsi="Times New Roman" w:cs="Times New Roman"/>
          <w:sz w:val="24"/>
          <w:szCs w:val="24"/>
        </w:rPr>
        <w:t xml:space="preserve"> was being required, in May 2001, to do.</w:t>
      </w:r>
      <w:r w:rsidR="009B4EA3">
        <w:rPr>
          <w:rFonts w:ascii="Times New Roman" w:hAnsi="Times New Roman" w:cs="Times New Roman"/>
          <w:sz w:val="24"/>
          <w:szCs w:val="24"/>
        </w:rPr>
        <w:t xml:space="preserve"> </w:t>
      </w:r>
      <w:r w:rsidR="00BA022D" w:rsidRPr="00E371E1">
        <w:rPr>
          <w:rFonts w:ascii="Times New Roman" w:hAnsi="Times New Roman" w:cs="Times New Roman"/>
          <w:sz w:val="24"/>
          <w:szCs w:val="24"/>
        </w:rPr>
        <w:t>Yet, past actions would be judged by later standards.</w:t>
      </w:r>
      <w:r w:rsidR="009B4EA3">
        <w:rPr>
          <w:rFonts w:ascii="Times New Roman" w:hAnsi="Times New Roman" w:cs="Times New Roman"/>
          <w:sz w:val="24"/>
          <w:szCs w:val="24"/>
        </w:rPr>
        <w:t xml:space="preserve"> </w:t>
      </w:r>
      <w:r w:rsidR="00D84600" w:rsidRPr="00E371E1">
        <w:rPr>
          <w:rFonts w:ascii="Times New Roman" w:hAnsi="Times New Roman" w:cs="Times New Roman"/>
          <w:sz w:val="24"/>
          <w:szCs w:val="24"/>
        </w:rPr>
        <w:t xml:space="preserve">(Strasbourg seems not to have spotted that one police force in NI meant, when it came to independence being defined in practice in subsequent years, the involvement of </w:t>
      </w:r>
      <w:r w:rsidR="00F040F3">
        <w:rPr>
          <w:rFonts w:ascii="Times New Roman" w:hAnsi="Times New Roman" w:cs="Times New Roman"/>
          <w:sz w:val="24"/>
          <w:szCs w:val="24"/>
        </w:rPr>
        <w:t xml:space="preserve">mainland </w:t>
      </w:r>
      <w:r w:rsidR="00D84600" w:rsidRPr="00E371E1">
        <w:rPr>
          <w:rFonts w:ascii="Times New Roman" w:hAnsi="Times New Roman" w:cs="Times New Roman"/>
          <w:sz w:val="24"/>
          <w:szCs w:val="24"/>
        </w:rPr>
        <w:t>British police officers in all investigations</w:t>
      </w:r>
      <w:r w:rsidR="00076676" w:rsidRPr="00E371E1">
        <w:rPr>
          <w:rFonts w:ascii="Times New Roman" w:hAnsi="Times New Roman" w:cs="Times New Roman"/>
          <w:sz w:val="24"/>
          <w:szCs w:val="24"/>
        </w:rPr>
        <w:t xml:space="preserve"> became necessary</w:t>
      </w:r>
      <w:r w:rsidR="00D84600"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D84600" w:rsidRPr="00E371E1">
        <w:rPr>
          <w:rFonts w:ascii="Times New Roman" w:hAnsi="Times New Roman" w:cs="Times New Roman"/>
          <w:sz w:val="24"/>
          <w:szCs w:val="24"/>
        </w:rPr>
        <w:t>Second, while Strasbourg made clear in the Jordan cases that it was not making findings of fact regarding the killings or even their investigations, how could it fashion a procedural obligation implied in article 2 which led the UK on a long road of enforcement by the council of ministers?</w:t>
      </w:r>
      <w:r w:rsidR="009B4EA3">
        <w:rPr>
          <w:rFonts w:ascii="Times New Roman" w:hAnsi="Times New Roman" w:cs="Times New Roman"/>
          <w:sz w:val="24"/>
          <w:szCs w:val="24"/>
        </w:rPr>
        <w:t xml:space="preserve"> </w:t>
      </w:r>
      <w:r w:rsidR="00AC1F5C" w:rsidRPr="00E371E1">
        <w:rPr>
          <w:rFonts w:ascii="Times New Roman" w:hAnsi="Times New Roman" w:cs="Times New Roman"/>
          <w:sz w:val="24"/>
          <w:szCs w:val="24"/>
        </w:rPr>
        <w:t>Third, while one of the four cases – Shanaghan – was a terrorist killing, loyalist rather than republican, Strasbourg simply failed to address the 60, 30, 10 per cent configuration of deaths.</w:t>
      </w:r>
      <w:r w:rsidR="009B4EA3">
        <w:rPr>
          <w:rFonts w:ascii="Times New Roman" w:hAnsi="Times New Roman" w:cs="Times New Roman"/>
          <w:sz w:val="24"/>
          <w:szCs w:val="24"/>
        </w:rPr>
        <w:t xml:space="preserve"> </w:t>
      </w:r>
      <w:r w:rsidR="008A65D2" w:rsidRPr="00E371E1">
        <w:rPr>
          <w:rFonts w:ascii="Times New Roman" w:hAnsi="Times New Roman" w:cs="Times New Roman"/>
          <w:sz w:val="24"/>
          <w:szCs w:val="24"/>
        </w:rPr>
        <w:t>The answer that only collusion cases were admissible, is undermined by the fact that Strasbourg was not, and was not able to judge, whether such allegations were meaningful or not.</w:t>
      </w:r>
      <w:r w:rsidR="009B4EA3">
        <w:rPr>
          <w:rFonts w:ascii="Times New Roman" w:hAnsi="Times New Roman" w:cs="Times New Roman"/>
          <w:sz w:val="24"/>
          <w:szCs w:val="24"/>
        </w:rPr>
        <w:t xml:space="preserve"> </w:t>
      </w:r>
      <w:r w:rsidR="007932C4" w:rsidRPr="00E371E1">
        <w:rPr>
          <w:rFonts w:ascii="Times New Roman" w:hAnsi="Times New Roman" w:cs="Times New Roman"/>
          <w:sz w:val="24"/>
          <w:szCs w:val="24"/>
        </w:rPr>
        <w:t xml:space="preserve">Fourth, unlike in McCann, Strasbourg awarded compensation, to the relatives, thereby guaranteeing that all future article 2 cases </w:t>
      </w:r>
      <w:r w:rsidR="007932C4" w:rsidRPr="00E371E1">
        <w:rPr>
          <w:rFonts w:ascii="Times New Roman" w:hAnsi="Times New Roman" w:cs="Times New Roman"/>
          <w:sz w:val="24"/>
          <w:szCs w:val="24"/>
        </w:rPr>
        <w:lastRenderedPageBreak/>
        <w:t>would have to be dealt with separately</w:t>
      </w:r>
      <w:r w:rsidR="00BA022D" w:rsidRPr="00E371E1">
        <w:rPr>
          <w:rFonts w:ascii="Times New Roman" w:hAnsi="Times New Roman" w:cs="Times New Roman"/>
          <w:sz w:val="24"/>
          <w:szCs w:val="24"/>
        </w:rPr>
        <w:t xml:space="preserve"> (yet the legal reason</w:t>
      </w:r>
      <w:r w:rsidR="00017D5B" w:rsidRPr="00E371E1">
        <w:rPr>
          <w:rFonts w:ascii="Times New Roman" w:hAnsi="Times New Roman" w:cs="Times New Roman"/>
          <w:sz w:val="24"/>
          <w:szCs w:val="24"/>
        </w:rPr>
        <w:t>ing</w:t>
      </w:r>
      <w:r w:rsidR="00BA022D" w:rsidRPr="00E371E1">
        <w:rPr>
          <w:rFonts w:ascii="Times New Roman" w:hAnsi="Times New Roman" w:cs="Times New Roman"/>
          <w:sz w:val="24"/>
          <w:szCs w:val="24"/>
        </w:rPr>
        <w:t xml:space="preserve"> took a standard form</w:t>
      </w:r>
      <w:r w:rsidR="00017D5B" w:rsidRPr="00E371E1">
        <w:rPr>
          <w:rFonts w:ascii="Times New Roman" w:hAnsi="Times New Roman" w:cs="Times New Roman"/>
          <w:sz w:val="24"/>
          <w:szCs w:val="24"/>
        </w:rPr>
        <w:t xml:space="preserve"> and Strasbourg could have better managed its </w:t>
      </w:r>
      <w:r w:rsidR="003826D3">
        <w:rPr>
          <w:rFonts w:ascii="Times New Roman" w:hAnsi="Times New Roman" w:cs="Times New Roman"/>
          <w:sz w:val="24"/>
          <w:szCs w:val="24"/>
        </w:rPr>
        <w:t xml:space="preserve">lengthy </w:t>
      </w:r>
      <w:r w:rsidR="00017D5B" w:rsidRPr="00E371E1">
        <w:rPr>
          <w:rFonts w:ascii="Times New Roman" w:hAnsi="Times New Roman" w:cs="Times New Roman"/>
          <w:sz w:val="24"/>
          <w:szCs w:val="24"/>
        </w:rPr>
        <w:t>waiting list</w:t>
      </w:r>
      <w:r w:rsidR="00BA022D" w:rsidRPr="00E371E1">
        <w:rPr>
          <w:rFonts w:ascii="Times New Roman" w:hAnsi="Times New Roman" w:cs="Times New Roman"/>
          <w:sz w:val="24"/>
          <w:szCs w:val="24"/>
        </w:rPr>
        <w:t>)</w:t>
      </w:r>
      <w:r w:rsidR="007932C4" w:rsidRPr="00E371E1">
        <w:rPr>
          <w:rFonts w:ascii="Times New Roman" w:hAnsi="Times New Roman" w:cs="Times New Roman"/>
          <w:sz w:val="24"/>
          <w:szCs w:val="24"/>
        </w:rPr>
        <w:t>.</w:t>
      </w:r>
    </w:p>
    <w:p w14:paraId="24C3D2E3" w14:textId="77777777" w:rsidR="00AC1F5C" w:rsidRPr="00E371E1" w:rsidRDefault="00AC1F5C" w:rsidP="00E371E1">
      <w:pPr>
        <w:pStyle w:val="NoSpacing"/>
        <w:jc w:val="both"/>
        <w:rPr>
          <w:rFonts w:ascii="Times New Roman" w:hAnsi="Times New Roman" w:cs="Times New Roman"/>
          <w:sz w:val="24"/>
          <w:szCs w:val="24"/>
        </w:rPr>
      </w:pPr>
    </w:p>
    <w:p w14:paraId="2E84CBBB" w14:textId="7E74E3D6" w:rsidR="00D84600" w:rsidRPr="00E371E1" w:rsidRDefault="008A65D2"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The law in the UK is clear on retrospectivity.</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Generally, unless made expressly, statute law is not retrospective, and certainly not as regards criminal liability.</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Article 7 of the convention (no punishment without law)</w:t>
      </w:r>
      <w:r w:rsidR="00AC1F5C" w:rsidRPr="00E371E1">
        <w:rPr>
          <w:rFonts w:ascii="Times New Roman" w:hAnsi="Times New Roman" w:cs="Times New Roman"/>
          <w:sz w:val="24"/>
          <w:szCs w:val="24"/>
        </w:rPr>
        <w:t xml:space="preserve"> </w:t>
      </w:r>
      <w:r w:rsidRPr="00E371E1">
        <w:rPr>
          <w:rFonts w:ascii="Times New Roman" w:hAnsi="Times New Roman" w:cs="Times New Roman"/>
          <w:sz w:val="24"/>
          <w:szCs w:val="24"/>
        </w:rPr>
        <w:t>recognized this as regards national law and</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international la</w:t>
      </w:r>
      <w:r w:rsidR="00BA022D" w:rsidRPr="00E371E1">
        <w:rPr>
          <w:rFonts w:ascii="Times New Roman" w:hAnsi="Times New Roman" w:cs="Times New Roman"/>
          <w:sz w:val="24"/>
          <w:szCs w:val="24"/>
        </w:rPr>
        <w:t>w (</w:t>
      </w:r>
      <w:r w:rsidRPr="00E371E1">
        <w:rPr>
          <w:rFonts w:ascii="Times New Roman" w:hAnsi="Times New Roman" w:cs="Times New Roman"/>
          <w:sz w:val="24"/>
          <w:szCs w:val="24"/>
        </w:rPr>
        <w:t>including the general principles of law recognized by civilized nations</w:t>
      </w:r>
      <w:r w:rsidR="00BA022D" w:rsidRPr="00E371E1">
        <w:rPr>
          <w:rFonts w:ascii="Times New Roman" w:hAnsi="Times New Roman" w:cs="Times New Roman"/>
          <w:sz w:val="24"/>
          <w:szCs w:val="24"/>
        </w:rPr>
        <w:t>)</w:t>
      </w:r>
      <w:r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F10069" w:rsidRPr="00E371E1">
        <w:rPr>
          <w:rFonts w:ascii="Times New Roman" w:hAnsi="Times New Roman" w:cs="Times New Roman"/>
          <w:sz w:val="24"/>
          <w:szCs w:val="24"/>
        </w:rPr>
        <w:t xml:space="preserve">When it comes to case law, the UK’s law of precedent is: a case may establish a principle of law (the </w:t>
      </w:r>
      <w:r w:rsidR="00F10069" w:rsidRPr="00E371E1">
        <w:rPr>
          <w:rFonts w:ascii="Times New Roman" w:hAnsi="Times New Roman" w:cs="Times New Roman"/>
          <w:i/>
          <w:iCs/>
          <w:sz w:val="24"/>
          <w:szCs w:val="24"/>
        </w:rPr>
        <w:t>ratio decidendi</w:t>
      </w:r>
      <w:r w:rsidR="00F10069" w:rsidRPr="00E371E1">
        <w:rPr>
          <w:rFonts w:ascii="Times New Roman" w:hAnsi="Times New Roman" w:cs="Times New Roman"/>
          <w:sz w:val="24"/>
          <w:szCs w:val="24"/>
        </w:rPr>
        <w:t xml:space="preserve">); if that is subsequently overruled, it is not retrospectivity – </w:t>
      </w:r>
      <w:r w:rsidR="007932C4" w:rsidRPr="00E371E1">
        <w:rPr>
          <w:rFonts w:ascii="Times New Roman" w:hAnsi="Times New Roman" w:cs="Times New Roman"/>
          <w:sz w:val="24"/>
          <w:szCs w:val="24"/>
        </w:rPr>
        <w:t>the new decision</w:t>
      </w:r>
      <w:r w:rsidR="00F10069" w:rsidRPr="00E371E1">
        <w:rPr>
          <w:rFonts w:ascii="Times New Roman" w:hAnsi="Times New Roman" w:cs="Times New Roman"/>
          <w:sz w:val="24"/>
          <w:szCs w:val="24"/>
        </w:rPr>
        <w:t xml:space="preserve"> is the recognition of the correct legal principle.</w:t>
      </w:r>
      <w:r w:rsidR="009B4EA3">
        <w:rPr>
          <w:rFonts w:ascii="Times New Roman" w:hAnsi="Times New Roman" w:cs="Times New Roman"/>
          <w:sz w:val="24"/>
          <w:szCs w:val="24"/>
        </w:rPr>
        <w:t xml:space="preserve"> </w:t>
      </w:r>
      <w:r w:rsidR="00BA022D" w:rsidRPr="00E371E1">
        <w:rPr>
          <w:rFonts w:ascii="Times New Roman" w:hAnsi="Times New Roman" w:cs="Times New Roman"/>
          <w:sz w:val="24"/>
          <w:szCs w:val="24"/>
        </w:rPr>
        <w:t>UK law is clear that individuals, whether citizens or officials, know what the position is, when they are being judged.</w:t>
      </w:r>
      <w:r w:rsidR="00932BB8" w:rsidRPr="00932BB8">
        <w:t xml:space="preserve"> </w:t>
      </w:r>
      <w:r w:rsidR="00932BB8" w:rsidRPr="00932BB8">
        <w:rPr>
          <w:rFonts w:ascii="Times New Roman" w:hAnsi="Times New Roman" w:cs="Times New Roman"/>
          <w:sz w:val="24"/>
          <w:szCs w:val="24"/>
        </w:rPr>
        <w:t xml:space="preserve">It is always interesting to judge the past by present values, but should that form </w:t>
      </w:r>
      <w:r w:rsidR="00932BB8">
        <w:rPr>
          <w:rFonts w:ascii="Times New Roman" w:hAnsi="Times New Roman" w:cs="Times New Roman"/>
          <w:sz w:val="24"/>
          <w:szCs w:val="24"/>
        </w:rPr>
        <w:t>any part of a system of justice?</w:t>
      </w:r>
    </w:p>
    <w:p w14:paraId="0046E10D" w14:textId="77777777" w:rsidR="00F10069" w:rsidRPr="00E371E1" w:rsidRDefault="00F10069" w:rsidP="00E371E1">
      <w:pPr>
        <w:pStyle w:val="NoSpacing"/>
        <w:jc w:val="both"/>
        <w:rPr>
          <w:rFonts w:ascii="Times New Roman" w:hAnsi="Times New Roman" w:cs="Times New Roman"/>
          <w:sz w:val="24"/>
          <w:szCs w:val="24"/>
        </w:rPr>
      </w:pPr>
    </w:p>
    <w:p w14:paraId="09FE6A76" w14:textId="4212BCE2" w:rsidR="00F10069" w:rsidRPr="00E371E1" w:rsidRDefault="00F10069" w:rsidP="00E371E1">
      <w:pPr>
        <w:pStyle w:val="NoSpacing"/>
        <w:jc w:val="both"/>
        <w:rPr>
          <w:rFonts w:ascii="Times New Roman" w:hAnsi="Times New Roman" w:cs="Times New Roman"/>
          <w:i/>
          <w:iCs/>
          <w:sz w:val="24"/>
          <w:szCs w:val="24"/>
        </w:rPr>
      </w:pPr>
      <w:r w:rsidRPr="00E371E1">
        <w:rPr>
          <w:rFonts w:ascii="Times New Roman" w:hAnsi="Times New Roman" w:cs="Times New Roman"/>
          <w:i/>
          <w:iCs/>
          <w:sz w:val="24"/>
          <w:szCs w:val="24"/>
        </w:rPr>
        <w:t>Later Cases</w:t>
      </w:r>
    </w:p>
    <w:p w14:paraId="63E4FE52" w14:textId="62FD6FEC" w:rsidR="00F10069" w:rsidRPr="00E371E1" w:rsidRDefault="00F10069" w:rsidP="00E371E1">
      <w:pPr>
        <w:pStyle w:val="NoSpacing"/>
        <w:jc w:val="both"/>
        <w:rPr>
          <w:rFonts w:ascii="Times New Roman" w:hAnsi="Times New Roman" w:cs="Times New Roman"/>
          <w:i/>
          <w:iCs/>
          <w:sz w:val="24"/>
          <w:szCs w:val="24"/>
        </w:rPr>
      </w:pPr>
    </w:p>
    <w:p w14:paraId="2FBB8C4C" w14:textId="61F12962" w:rsidR="00F10069" w:rsidRPr="00E371E1" w:rsidRDefault="00F10069"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I refer to:</w:t>
      </w:r>
    </w:p>
    <w:p w14:paraId="7BCD7422" w14:textId="30BE5BC2" w:rsidR="00F10069" w:rsidRPr="00E371E1" w:rsidRDefault="00F10069" w:rsidP="00E371E1">
      <w:pPr>
        <w:pStyle w:val="NoSpacing"/>
        <w:jc w:val="both"/>
        <w:rPr>
          <w:rFonts w:ascii="Times New Roman" w:hAnsi="Times New Roman" w:cs="Times New Roman"/>
          <w:sz w:val="24"/>
          <w:szCs w:val="24"/>
        </w:rPr>
      </w:pPr>
    </w:p>
    <w:p w14:paraId="11D2F7A6" w14:textId="1C1BDC70" w:rsidR="00F10069" w:rsidRPr="00E371E1" w:rsidRDefault="00F10069" w:rsidP="00E371E1">
      <w:pPr>
        <w:pStyle w:val="NoSpacing"/>
        <w:jc w:val="both"/>
        <w:rPr>
          <w:rFonts w:ascii="Times New Roman" w:hAnsi="Times New Roman" w:cs="Times New Roman"/>
          <w:sz w:val="24"/>
          <w:szCs w:val="24"/>
        </w:rPr>
      </w:pPr>
      <w:r w:rsidRPr="00E371E1">
        <w:rPr>
          <w:rFonts w:ascii="Times New Roman" w:hAnsi="Times New Roman" w:cs="Times New Roman"/>
          <w:b/>
          <w:bCs/>
          <w:sz w:val="24"/>
          <w:szCs w:val="24"/>
        </w:rPr>
        <w:t>Mc</w:t>
      </w:r>
      <w:r w:rsidR="001437BA" w:rsidRPr="00E371E1">
        <w:rPr>
          <w:rFonts w:ascii="Times New Roman" w:hAnsi="Times New Roman" w:cs="Times New Roman"/>
          <w:b/>
          <w:bCs/>
          <w:sz w:val="24"/>
          <w:szCs w:val="24"/>
        </w:rPr>
        <w:t>S</w:t>
      </w:r>
      <w:r w:rsidRPr="00E371E1">
        <w:rPr>
          <w:rFonts w:ascii="Times New Roman" w:hAnsi="Times New Roman" w:cs="Times New Roman"/>
          <w:b/>
          <w:bCs/>
          <w:sz w:val="24"/>
          <w:szCs w:val="24"/>
        </w:rPr>
        <w:t>hane v UK, ECtHR (four</w:t>
      </w:r>
      <w:r w:rsidR="00F040F3">
        <w:rPr>
          <w:rFonts w:ascii="Times New Roman" w:hAnsi="Times New Roman" w:cs="Times New Roman"/>
          <w:b/>
          <w:bCs/>
          <w:sz w:val="24"/>
          <w:szCs w:val="24"/>
        </w:rPr>
        <w:t>th</w:t>
      </w:r>
      <w:r w:rsidRPr="00E371E1">
        <w:rPr>
          <w:rFonts w:ascii="Times New Roman" w:hAnsi="Times New Roman" w:cs="Times New Roman"/>
          <w:b/>
          <w:bCs/>
          <w:sz w:val="24"/>
          <w:szCs w:val="24"/>
        </w:rPr>
        <w:t xml:space="preserve"> section), 28 May 2002;</w:t>
      </w:r>
    </w:p>
    <w:p w14:paraId="5955D0B7" w14:textId="30FA136C" w:rsidR="00F10069" w:rsidRPr="00E371E1" w:rsidRDefault="00F10069" w:rsidP="00E371E1">
      <w:pPr>
        <w:pStyle w:val="NoSpacing"/>
        <w:jc w:val="both"/>
        <w:rPr>
          <w:rFonts w:ascii="Times New Roman" w:hAnsi="Times New Roman" w:cs="Times New Roman"/>
          <w:sz w:val="24"/>
          <w:szCs w:val="24"/>
        </w:rPr>
      </w:pPr>
      <w:r w:rsidRPr="00E371E1">
        <w:rPr>
          <w:rFonts w:ascii="Times New Roman" w:hAnsi="Times New Roman" w:cs="Times New Roman"/>
          <w:b/>
          <w:bCs/>
          <w:sz w:val="24"/>
          <w:szCs w:val="24"/>
        </w:rPr>
        <w:t>Finucane v UK, ECtHR (fourth section), 1 July 2003;</w:t>
      </w:r>
    </w:p>
    <w:p w14:paraId="3147823D" w14:textId="5CD98F94" w:rsidR="00F10069" w:rsidRPr="00E371E1" w:rsidRDefault="00F10069" w:rsidP="00E371E1">
      <w:pPr>
        <w:pStyle w:val="NoSpacing"/>
        <w:jc w:val="both"/>
        <w:rPr>
          <w:rFonts w:ascii="Times New Roman" w:hAnsi="Times New Roman" w:cs="Times New Roman"/>
          <w:sz w:val="24"/>
          <w:szCs w:val="24"/>
        </w:rPr>
      </w:pPr>
      <w:r w:rsidRPr="00E371E1">
        <w:rPr>
          <w:rFonts w:ascii="Times New Roman" w:hAnsi="Times New Roman" w:cs="Times New Roman"/>
          <w:b/>
          <w:bCs/>
          <w:sz w:val="24"/>
          <w:szCs w:val="24"/>
        </w:rPr>
        <w:t>Brecknell v UK, ECtHR (</w:t>
      </w:r>
      <w:r w:rsidR="001437BA" w:rsidRPr="00E371E1">
        <w:rPr>
          <w:rFonts w:ascii="Times New Roman" w:hAnsi="Times New Roman" w:cs="Times New Roman"/>
          <w:b/>
          <w:bCs/>
          <w:sz w:val="24"/>
          <w:szCs w:val="24"/>
        </w:rPr>
        <w:t>fourth section), 27 November 2007;</w:t>
      </w:r>
    </w:p>
    <w:p w14:paraId="127324B5" w14:textId="5490C9F5" w:rsidR="00F10069" w:rsidRPr="00E371E1" w:rsidRDefault="00F10069" w:rsidP="00E371E1">
      <w:pPr>
        <w:pStyle w:val="NoSpacing"/>
        <w:jc w:val="both"/>
        <w:rPr>
          <w:rFonts w:ascii="Times New Roman" w:hAnsi="Times New Roman" w:cs="Times New Roman"/>
          <w:sz w:val="24"/>
          <w:szCs w:val="24"/>
        </w:rPr>
      </w:pPr>
      <w:r w:rsidRPr="00E371E1">
        <w:rPr>
          <w:rFonts w:ascii="Times New Roman" w:hAnsi="Times New Roman" w:cs="Times New Roman"/>
          <w:b/>
          <w:bCs/>
          <w:sz w:val="24"/>
          <w:szCs w:val="24"/>
        </w:rPr>
        <w:t>McCaughey v UK, ECtHR</w:t>
      </w:r>
      <w:r w:rsidR="001437BA" w:rsidRPr="00E371E1">
        <w:rPr>
          <w:rFonts w:ascii="Times New Roman" w:hAnsi="Times New Roman" w:cs="Times New Roman"/>
          <w:b/>
          <w:bCs/>
          <w:sz w:val="24"/>
          <w:szCs w:val="24"/>
        </w:rPr>
        <w:t xml:space="preserve"> (fourth section)</w:t>
      </w:r>
      <w:r w:rsidRPr="00E371E1">
        <w:rPr>
          <w:rFonts w:ascii="Times New Roman" w:hAnsi="Times New Roman" w:cs="Times New Roman"/>
          <w:b/>
          <w:bCs/>
          <w:sz w:val="24"/>
          <w:szCs w:val="24"/>
        </w:rPr>
        <w:t>, 16 July 2013;</w:t>
      </w:r>
    </w:p>
    <w:p w14:paraId="0AEC5E41" w14:textId="65758C62" w:rsidR="00F10069" w:rsidRPr="00E371E1" w:rsidRDefault="00F10069" w:rsidP="00E371E1">
      <w:pPr>
        <w:pStyle w:val="NoSpacing"/>
        <w:jc w:val="both"/>
        <w:rPr>
          <w:rFonts w:ascii="Times New Roman" w:hAnsi="Times New Roman" w:cs="Times New Roman"/>
          <w:sz w:val="24"/>
          <w:szCs w:val="24"/>
        </w:rPr>
      </w:pPr>
      <w:proofErr w:type="gramStart"/>
      <w:r w:rsidRPr="00E371E1">
        <w:rPr>
          <w:rFonts w:ascii="Times New Roman" w:hAnsi="Times New Roman" w:cs="Times New Roman"/>
          <w:b/>
          <w:bCs/>
          <w:sz w:val="24"/>
          <w:szCs w:val="24"/>
        </w:rPr>
        <w:t xml:space="preserve">Hemsworth v UK, ECtHR </w:t>
      </w:r>
      <w:r w:rsidR="001437BA" w:rsidRPr="00E371E1">
        <w:rPr>
          <w:rFonts w:ascii="Times New Roman" w:hAnsi="Times New Roman" w:cs="Times New Roman"/>
          <w:b/>
          <w:bCs/>
          <w:sz w:val="24"/>
          <w:szCs w:val="24"/>
        </w:rPr>
        <w:t>(fourth section), 16 July 2013.</w:t>
      </w:r>
      <w:proofErr w:type="gramEnd"/>
    </w:p>
    <w:p w14:paraId="69976FB4" w14:textId="10B69FBE" w:rsidR="001437BA" w:rsidRPr="00E371E1" w:rsidRDefault="001437BA" w:rsidP="00E371E1">
      <w:pPr>
        <w:pStyle w:val="NoSpacing"/>
        <w:jc w:val="both"/>
        <w:rPr>
          <w:rFonts w:ascii="Times New Roman" w:hAnsi="Times New Roman" w:cs="Times New Roman"/>
          <w:sz w:val="24"/>
          <w:szCs w:val="24"/>
        </w:rPr>
      </w:pPr>
    </w:p>
    <w:p w14:paraId="5A05A92F" w14:textId="35D22E1D" w:rsidR="00C36506" w:rsidRPr="00E371E1" w:rsidRDefault="00C36506"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The perpetrators in these five later cases were: McShane, </w:t>
      </w:r>
      <w:r w:rsidR="00521512" w:rsidRPr="00E371E1">
        <w:rPr>
          <w:rFonts w:ascii="Times New Roman" w:hAnsi="Times New Roman" w:cs="Times New Roman"/>
          <w:sz w:val="24"/>
          <w:szCs w:val="24"/>
        </w:rPr>
        <w:t>police and army</w:t>
      </w:r>
      <w:r w:rsidRPr="00E371E1">
        <w:rPr>
          <w:rFonts w:ascii="Times New Roman" w:hAnsi="Times New Roman" w:cs="Times New Roman"/>
          <w:sz w:val="24"/>
          <w:szCs w:val="24"/>
        </w:rPr>
        <w:t xml:space="preserve">; Finucane, loyalists; Brecknell, </w:t>
      </w:r>
      <w:r w:rsidR="00521512" w:rsidRPr="00E371E1">
        <w:rPr>
          <w:rFonts w:ascii="Times New Roman" w:hAnsi="Times New Roman" w:cs="Times New Roman"/>
          <w:sz w:val="24"/>
          <w:szCs w:val="24"/>
        </w:rPr>
        <w:t>loyalists</w:t>
      </w:r>
      <w:r w:rsidRPr="00E371E1">
        <w:rPr>
          <w:rFonts w:ascii="Times New Roman" w:hAnsi="Times New Roman" w:cs="Times New Roman"/>
          <w:sz w:val="24"/>
          <w:szCs w:val="24"/>
        </w:rPr>
        <w:t xml:space="preserve">; McCaughey, </w:t>
      </w:r>
      <w:r w:rsidR="00521512" w:rsidRPr="00E371E1">
        <w:rPr>
          <w:rFonts w:ascii="Times New Roman" w:hAnsi="Times New Roman" w:cs="Times New Roman"/>
          <w:sz w:val="24"/>
          <w:szCs w:val="24"/>
        </w:rPr>
        <w:t>police</w:t>
      </w:r>
      <w:r w:rsidRPr="00E371E1">
        <w:rPr>
          <w:rFonts w:ascii="Times New Roman" w:hAnsi="Times New Roman" w:cs="Times New Roman"/>
          <w:sz w:val="24"/>
          <w:szCs w:val="24"/>
        </w:rPr>
        <w:t xml:space="preserve">; and Hemsworth, </w:t>
      </w:r>
      <w:r w:rsidR="00521512" w:rsidRPr="00E371E1">
        <w:rPr>
          <w:rFonts w:ascii="Times New Roman" w:hAnsi="Times New Roman" w:cs="Times New Roman"/>
          <w:sz w:val="24"/>
          <w:szCs w:val="24"/>
        </w:rPr>
        <w:t>police</w:t>
      </w:r>
      <w:r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521512" w:rsidRPr="00E371E1">
        <w:rPr>
          <w:rFonts w:ascii="Times New Roman" w:hAnsi="Times New Roman" w:cs="Times New Roman"/>
          <w:sz w:val="24"/>
          <w:szCs w:val="24"/>
        </w:rPr>
        <w:t>Again, as with Shanaghan, two were victims of loyalists: Finucane and Brecknell.</w:t>
      </w:r>
      <w:r w:rsidR="009B4EA3">
        <w:rPr>
          <w:rFonts w:ascii="Times New Roman" w:hAnsi="Times New Roman" w:cs="Times New Roman"/>
          <w:sz w:val="24"/>
          <w:szCs w:val="24"/>
        </w:rPr>
        <w:t xml:space="preserve"> </w:t>
      </w:r>
      <w:r w:rsidR="00521512" w:rsidRPr="00E371E1">
        <w:rPr>
          <w:rFonts w:ascii="Times New Roman" w:hAnsi="Times New Roman" w:cs="Times New Roman"/>
          <w:sz w:val="24"/>
          <w:szCs w:val="24"/>
        </w:rPr>
        <w:t>Collusion, in Finucane’s case was escalated to: the absence of</w:t>
      </w:r>
      <w:r w:rsidR="00017D5B" w:rsidRPr="00E371E1">
        <w:rPr>
          <w:rFonts w:ascii="Times New Roman" w:hAnsi="Times New Roman" w:cs="Times New Roman"/>
          <w:sz w:val="24"/>
          <w:szCs w:val="24"/>
        </w:rPr>
        <w:t xml:space="preserve"> an</w:t>
      </w:r>
      <w:r w:rsidR="00521512" w:rsidRPr="00E371E1">
        <w:rPr>
          <w:rFonts w:ascii="Times New Roman" w:hAnsi="Times New Roman" w:cs="Times New Roman"/>
          <w:sz w:val="24"/>
          <w:szCs w:val="24"/>
        </w:rPr>
        <w:t xml:space="preserve"> investigation </w:t>
      </w:r>
      <w:r w:rsidR="00BA022D" w:rsidRPr="00E371E1">
        <w:rPr>
          <w:rFonts w:ascii="Times New Roman" w:hAnsi="Times New Roman" w:cs="Times New Roman"/>
          <w:sz w:val="24"/>
          <w:szCs w:val="24"/>
        </w:rPr>
        <w:t xml:space="preserve">of collusion </w:t>
      </w:r>
      <w:r w:rsidR="00521512" w:rsidRPr="00E371E1">
        <w:rPr>
          <w:rFonts w:ascii="Times New Roman" w:hAnsi="Times New Roman" w:cs="Times New Roman"/>
          <w:sz w:val="24"/>
          <w:szCs w:val="24"/>
        </w:rPr>
        <w:t xml:space="preserve">amounts to a </w:t>
      </w:r>
      <w:r w:rsidR="006505CD" w:rsidRPr="00E371E1">
        <w:rPr>
          <w:rFonts w:ascii="Times New Roman" w:hAnsi="Times New Roman" w:cs="Times New Roman"/>
          <w:sz w:val="24"/>
          <w:szCs w:val="24"/>
        </w:rPr>
        <w:t>violation</w:t>
      </w:r>
      <w:r w:rsidR="00521512"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521512" w:rsidRPr="00E371E1">
        <w:rPr>
          <w:rFonts w:ascii="Times New Roman" w:hAnsi="Times New Roman" w:cs="Times New Roman"/>
          <w:sz w:val="24"/>
          <w:szCs w:val="24"/>
        </w:rPr>
        <w:t xml:space="preserve">In Brecknell, collusion was based upon </w:t>
      </w:r>
      <w:r w:rsidR="007932C4" w:rsidRPr="00E371E1">
        <w:rPr>
          <w:rFonts w:ascii="Times New Roman" w:hAnsi="Times New Roman" w:cs="Times New Roman"/>
          <w:sz w:val="24"/>
          <w:szCs w:val="24"/>
        </w:rPr>
        <w:t>the hearsay testimony of a</w:t>
      </w:r>
      <w:r w:rsidR="00521512" w:rsidRPr="00E371E1">
        <w:rPr>
          <w:rFonts w:ascii="Times New Roman" w:hAnsi="Times New Roman" w:cs="Times New Roman"/>
          <w:sz w:val="24"/>
          <w:szCs w:val="24"/>
        </w:rPr>
        <w:t xml:space="preserve"> </w:t>
      </w:r>
      <w:r w:rsidR="007932C4" w:rsidRPr="00E371E1">
        <w:rPr>
          <w:rFonts w:ascii="Times New Roman" w:hAnsi="Times New Roman" w:cs="Times New Roman"/>
          <w:sz w:val="24"/>
          <w:szCs w:val="24"/>
        </w:rPr>
        <w:t xml:space="preserve">corrupt </w:t>
      </w:r>
      <w:r w:rsidR="00521512" w:rsidRPr="00E371E1">
        <w:rPr>
          <w:rFonts w:ascii="Times New Roman" w:hAnsi="Times New Roman" w:cs="Times New Roman"/>
          <w:sz w:val="24"/>
          <w:szCs w:val="24"/>
        </w:rPr>
        <w:t>police officer (</w:t>
      </w:r>
      <w:r w:rsidR="007932C4" w:rsidRPr="00E371E1">
        <w:rPr>
          <w:rFonts w:ascii="Times New Roman" w:hAnsi="Times New Roman" w:cs="Times New Roman"/>
          <w:sz w:val="24"/>
          <w:szCs w:val="24"/>
        </w:rPr>
        <w:t>John</w:t>
      </w:r>
      <w:r w:rsidR="00521512" w:rsidRPr="00E371E1">
        <w:rPr>
          <w:rFonts w:ascii="Times New Roman" w:hAnsi="Times New Roman" w:cs="Times New Roman"/>
          <w:sz w:val="24"/>
          <w:szCs w:val="24"/>
        </w:rPr>
        <w:t xml:space="preserve"> Weir)</w:t>
      </w:r>
      <w:r w:rsidR="007932C4" w:rsidRPr="00E371E1">
        <w:rPr>
          <w:rFonts w:ascii="Times New Roman" w:hAnsi="Times New Roman" w:cs="Times New Roman"/>
          <w:sz w:val="24"/>
          <w:szCs w:val="24"/>
        </w:rPr>
        <w:t>, who was a loyalist killer.</w:t>
      </w:r>
      <w:r w:rsidR="009B4EA3">
        <w:rPr>
          <w:rFonts w:ascii="Times New Roman" w:hAnsi="Times New Roman" w:cs="Times New Roman"/>
          <w:sz w:val="24"/>
          <w:szCs w:val="24"/>
        </w:rPr>
        <w:t xml:space="preserve"> </w:t>
      </w:r>
    </w:p>
    <w:p w14:paraId="0D5749C8" w14:textId="61965AC6" w:rsidR="00BB6781" w:rsidRPr="00E371E1" w:rsidRDefault="00BB6781" w:rsidP="00E371E1">
      <w:pPr>
        <w:pStyle w:val="NoSpacing"/>
        <w:jc w:val="both"/>
        <w:rPr>
          <w:rFonts w:ascii="Times New Roman" w:hAnsi="Times New Roman" w:cs="Times New Roman"/>
          <w:sz w:val="24"/>
          <w:szCs w:val="24"/>
        </w:rPr>
      </w:pPr>
    </w:p>
    <w:p w14:paraId="60253DFC" w14:textId="404A8759" w:rsidR="00BB6781" w:rsidRPr="00E371E1" w:rsidRDefault="00BB6781"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The judgment in Finucane noted: ‘The applicant submitted that the RUC investigation into her husband’s death was, </w:t>
      </w:r>
      <w:r w:rsidRPr="00E371E1">
        <w:rPr>
          <w:rFonts w:ascii="Times New Roman" w:hAnsi="Times New Roman" w:cs="Times New Roman"/>
          <w:i/>
          <w:iCs/>
          <w:sz w:val="24"/>
          <w:szCs w:val="24"/>
        </w:rPr>
        <w:t xml:space="preserve">inter alia, </w:t>
      </w:r>
      <w:r w:rsidRPr="00E371E1">
        <w:rPr>
          <w:rFonts w:ascii="Times New Roman" w:hAnsi="Times New Roman" w:cs="Times New Roman"/>
          <w:sz w:val="24"/>
          <w:szCs w:val="24"/>
        </w:rPr>
        <w:t>hopelessly inadequate as it failed entirely to explore the possibility of collusion and the investigating officers were hierarchically linked to those against whom allegations were made.</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The inquest was also strictly limited in its scope, involving no key witnesses or any persons suspected of involvement in the death and could not provide an effective part of the process of identifying or prosecuting the perpetrators of any unlawful act…As regards </w:t>
      </w:r>
      <w:r w:rsidR="00BA022D" w:rsidRPr="00E371E1">
        <w:rPr>
          <w:rFonts w:ascii="Times New Roman" w:hAnsi="Times New Roman" w:cs="Times New Roman"/>
          <w:sz w:val="24"/>
          <w:szCs w:val="24"/>
        </w:rPr>
        <w:t>t</w:t>
      </w:r>
      <w:r w:rsidRPr="00E371E1">
        <w:rPr>
          <w:rFonts w:ascii="Times New Roman" w:hAnsi="Times New Roman" w:cs="Times New Roman"/>
          <w:sz w:val="24"/>
          <w:szCs w:val="24"/>
        </w:rPr>
        <w:t>he alleged lack of cooperation in various investigations, she had always taken the position that an independent judicial inquiry was the appropriate solution.’ (</w:t>
      </w:r>
      <w:proofErr w:type="gramStart"/>
      <w:r w:rsidRPr="00E371E1">
        <w:rPr>
          <w:rFonts w:ascii="Times New Roman" w:hAnsi="Times New Roman" w:cs="Times New Roman"/>
          <w:sz w:val="24"/>
          <w:szCs w:val="24"/>
        </w:rPr>
        <w:t>paras</w:t>
      </w:r>
      <w:proofErr w:type="gramEnd"/>
      <w:r w:rsidRPr="00E371E1">
        <w:rPr>
          <w:rFonts w:ascii="Times New Roman" w:hAnsi="Times New Roman" w:cs="Times New Roman"/>
          <w:sz w:val="24"/>
          <w:szCs w:val="24"/>
        </w:rPr>
        <w:t xml:space="preserve"> 61-2)</w:t>
      </w:r>
    </w:p>
    <w:p w14:paraId="5C4C9B94" w14:textId="77777777" w:rsidR="00C36506" w:rsidRPr="00E371E1" w:rsidRDefault="00C36506" w:rsidP="00E371E1">
      <w:pPr>
        <w:pStyle w:val="NoSpacing"/>
        <w:jc w:val="both"/>
        <w:rPr>
          <w:rFonts w:ascii="Times New Roman" w:hAnsi="Times New Roman" w:cs="Times New Roman"/>
          <w:sz w:val="24"/>
          <w:szCs w:val="24"/>
        </w:rPr>
      </w:pPr>
    </w:p>
    <w:p w14:paraId="491AE815" w14:textId="73A8EC98" w:rsidR="001437BA" w:rsidRPr="00E371E1" w:rsidRDefault="001437BA"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The statement of the law</w:t>
      </w:r>
      <w:r w:rsidR="00017D5B" w:rsidRPr="00E371E1">
        <w:rPr>
          <w:rFonts w:ascii="Times New Roman" w:hAnsi="Times New Roman" w:cs="Times New Roman"/>
          <w:sz w:val="24"/>
          <w:szCs w:val="24"/>
        </w:rPr>
        <w:t xml:space="preserve"> in these additional cases</w:t>
      </w:r>
      <w:r w:rsidRPr="00E371E1">
        <w:rPr>
          <w:rFonts w:ascii="Times New Roman" w:hAnsi="Times New Roman" w:cs="Times New Roman"/>
          <w:sz w:val="24"/>
          <w:szCs w:val="24"/>
        </w:rPr>
        <w:t xml:space="preserve"> is in: McShane, paras </w:t>
      </w:r>
      <w:r w:rsidR="00ED3A4B" w:rsidRPr="00E371E1">
        <w:rPr>
          <w:rFonts w:ascii="Times New Roman" w:hAnsi="Times New Roman" w:cs="Times New Roman"/>
          <w:sz w:val="24"/>
          <w:szCs w:val="24"/>
        </w:rPr>
        <w:t>91-8 (as above)</w:t>
      </w:r>
      <w:r w:rsidRPr="00E371E1">
        <w:rPr>
          <w:rFonts w:ascii="Times New Roman" w:hAnsi="Times New Roman" w:cs="Times New Roman"/>
          <w:sz w:val="24"/>
          <w:szCs w:val="24"/>
        </w:rPr>
        <w:t xml:space="preserve">; Finucane, paras </w:t>
      </w:r>
      <w:r w:rsidR="00ED3A4B" w:rsidRPr="00E371E1">
        <w:rPr>
          <w:rFonts w:ascii="Times New Roman" w:hAnsi="Times New Roman" w:cs="Times New Roman"/>
          <w:sz w:val="24"/>
          <w:szCs w:val="24"/>
        </w:rPr>
        <w:t>67-71 (with the first three paras deleted)</w:t>
      </w:r>
      <w:r w:rsidRPr="00E371E1">
        <w:rPr>
          <w:rFonts w:ascii="Times New Roman" w:hAnsi="Times New Roman" w:cs="Times New Roman"/>
          <w:sz w:val="24"/>
          <w:szCs w:val="24"/>
        </w:rPr>
        <w:t xml:space="preserve">; Brecknell, paras </w:t>
      </w:r>
      <w:r w:rsidR="00ED3A4B" w:rsidRPr="00E371E1">
        <w:rPr>
          <w:rFonts w:ascii="Times New Roman" w:hAnsi="Times New Roman" w:cs="Times New Roman"/>
          <w:sz w:val="24"/>
          <w:szCs w:val="24"/>
        </w:rPr>
        <w:t>65-75 (with new text drawing on the Jordan cases)</w:t>
      </w:r>
      <w:r w:rsidRPr="00E371E1">
        <w:rPr>
          <w:rFonts w:ascii="Times New Roman" w:hAnsi="Times New Roman" w:cs="Times New Roman"/>
          <w:sz w:val="24"/>
          <w:szCs w:val="24"/>
        </w:rPr>
        <w:t xml:space="preserve">; McCaughey, paras </w:t>
      </w:r>
      <w:r w:rsidR="00ED3A4B" w:rsidRPr="00E371E1">
        <w:rPr>
          <w:rFonts w:ascii="Times New Roman" w:hAnsi="Times New Roman" w:cs="Times New Roman"/>
          <w:sz w:val="24"/>
          <w:szCs w:val="24"/>
        </w:rPr>
        <w:t>90-2 (with a simplified statement)</w:t>
      </w:r>
      <w:r w:rsidRPr="00E371E1">
        <w:rPr>
          <w:rFonts w:ascii="Times New Roman" w:hAnsi="Times New Roman" w:cs="Times New Roman"/>
          <w:sz w:val="24"/>
          <w:szCs w:val="24"/>
        </w:rPr>
        <w:t xml:space="preserve">; and Hemsworth, paras </w:t>
      </w:r>
      <w:r w:rsidR="004176F7" w:rsidRPr="00E371E1">
        <w:rPr>
          <w:rFonts w:ascii="Times New Roman" w:hAnsi="Times New Roman" w:cs="Times New Roman"/>
          <w:sz w:val="24"/>
          <w:szCs w:val="24"/>
        </w:rPr>
        <w:t>44-6 (following McCaughey)</w:t>
      </w:r>
      <w:r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4176F7" w:rsidRPr="00E371E1">
        <w:rPr>
          <w:rFonts w:ascii="Times New Roman" w:hAnsi="Times New Roman" w:cs="Times New Roman"/>
          <w:sz w:val="24"/>
          <w:szCs w:val="24"/>
        </w:rPr>
        <w:t>Brecknell, in 2007, had the court stating: ‘The obligation to carry out an effective investigation into unlawful or suspicious death is well-established in the Court’s case law…’ (</w:t>
      </w:r>
      <w:proofErr w:type="gramStart"/>
      <w:r w:rsidR="004176F7" w:rsidRPr="00E371E1">
        <w:rPr>
          <w:rFonts w:ascii="Times New Roman" w:hAnsi="Times New Roman" w:cs="Times New Roman"/>
          <w:sz w:val="24"/>
          <w:szCs w:val="24"/>
        </w:rPr>
        <w:t>para</w:t>
      </w:r>
      <w:proofErr w:type="gramEnd"/>
      <w:r w:rsidR="004176F7" w:rsidRPr="00E371E1">
        <w:rPr>
          <w:rFonts w:ascii="Times New Roman" w:hAnsi="Times New Roman" w:cs="Times New Roman"/>
          <w:sz w:val="24"/>
          <w:szCs w:val="24"/>
        </w:rPr>
        <w:t xml:space="preserve"> 65) – </w:t>
      </w:r>
      <w:proofErr w:type="gramStart"/>
      <w:r w:rsidR="004176F7" w:rsidRPr="00E371E1">
        <w:rPr>
          <w:rFonts w:ascii="Times New Roman" w:hAnsi="Times New Roman" w:cs="Times New Roman"/>
          <w:sz w:val="24"/>
          <w:szCs w:val="24"/>
        </w:rPr>
        <w:t>which</w:t>
      </w:r>
      <w:proofErr w:type="gramEnd"/>
      <w:r w:rsidR="004176F7" w:rsidRPr="00E371E1">
        <w:rPr>
          <w:rFonts w:ascii="Times New Roman" w:hAnsi="Times New Roman" w:cs="Times New Roman"/>
          <w:sz w:val="24"/>
          <w:szCs w:val="24"/>
        </w:rPr>
        <w:t xml:space="preserve"> was demonstrably false, given the 90 per cent of unlawful terrorist killings in NI.</w:t>
      </w:r>
      <w:r w:rsidR="004176F7" w:rsidRPr="00E371E1">
        <w:rPr>
          <w:rStyle w:val="FootnoteReference"/>
          <w:rFonts w:ascii="Times New Roman" w:hAnsi="Times New Roman" w:cs="Times New Roman"/>
          <w:sz w:val="24"/>
          <w:szCs w:val="24"/>
        </w:rPr>
        <w:footnoteReference w:id="11"/>
      </w:r>
      <w:r w:rsidR="009B4EA3">
        <w:rPr>
          <w:rFonts w:ascii="Times New Roman" w:hAnsi="Times New Roman" w:cs="Times New Roman"/>
          <w:sz w:val="24"/>
          <w:szCs w:val="24"/>
        </w:rPr>
        <w:t xml:space="preserve"> </w:t>
      </w:r>
      <w:r w:rsidR="00C36506" w:rsidRPr="00E371E1">
        <w:rPr>
          <w:rFonts w:ascii="Times New Roman" w:hAnsi="Times New Roman" w:cs="Times New Roman"/>
          <w:sz w:val="24"/>
          <w:szCs w:val="24"/>
        </w:rPr>
        <w:t xml:space="preserve">Hemsworth was admitted only on the </w:t>
      </w:r>
      <w:r w:rsidR="00C36506" w:rsidRPr="00E371E1">
        <w:rPr>
          <w:rFonts w:ascii="Times New Roman" w:hAnsi="Times New Roman" w:cs="Times New Roman"/>
          <w:sz w:val="24"/>
          <w:szCs w:val="24"/>
        </w:rPr>
        <w:lastRenderedPageBreak/>
        <w:t>delay of an inquest, from 1998 and 2011, the court holding that the applicant had not yet exhausted domestic remedies</w:t>
      </w:r>
      <w:r w:rsidR="00BA022D" w:rsidRPr="00E371E1">
        <w:rPr>
          <w:rFonts w:ascii="Times New Roman" w:hAnsi="Times New Roman" w:cs="Times New Roman"/>
          <w:sz w:val="24"/>
          <w:szCs w:val="24"/>
        </w:rPr>
        <w:t xml:space="preserve"> otherwise</w:t>
      </w:r>
      <w:r w:rsidR="00C36506" w:rsidRPr="00E371E1">
        <w:rPr>
          <w:rFonts w:ascii="Times New Roman" w:hAnsi="Times New Roman" w:cs="Times New Roman"/>
          <w:sz w:val="24"/>
          <w:szCs w:val="24"/>
        </w:rPr>
        <w:t>.</w:t>
      </w:r>
      <w:r w:rsidR="00C36506" w:rsidRPr="00E371E1">
        <w:rPr>
          <w:rStyle w:val="FootnoteReference"/>
          <w:rFonts w:ascii="Times New Roman" w:hAnsi="Times New Roman" w:cs="Times New Roman"/>
          <w:sz w:val="24"/>
          <w:szCs w:val="24"/>
        </w:rPr>
        <w:footnoteReference w:id="12"/>
      </w:r>
      <w:r w:rsidR="009B4EA3">
        <w:rPr>
          <w:rFonts w:ascii="Times New Roman" w:hAnsi="Times New Roman" w:cs="Times New Roman"/>
          <w:sz w:val="24"/>
          <w:szCs w:val="24"/>
        </w:rPr>
        <w:t xml:space="preserve"> </w:t>
      </w:r>
    </w:p>
    <w:p w14:paraId="552398D2" w14:textId="26C197AE" w:rsidR="00C36506" w:rsidRPr="00E371E1" w:rsidRDefault="00C36506" w:rsidP="00E371E1">
      <w:pPr>
        <w:pStyle w:val="NoSpacing"/>
        <w:jc w:val="both"/>
        <w:rPr>
          <w:rFonts w:ascii="Times New Roman" w:hAnsi="Times New Roman" w:cs="Times New Roman"/>
          <w:sz w:val="24"/>
          <w:szCs w:val="24"/>
        </w:rPr>
      </w:pPr>
    </w:p>
    <w:p w14:paraId="6BE4A80E" w14:textId="4951DDF9" w:rsidR="00C36506" w:rsidRPr="00E371E1" w:rsidRDefault="007932C4"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These five cases may be taken more briskly</w:t>
      </w:r>
      <w:r w:rsidR="00BA022D" w:rsidRPr="00E371E1">
        <w:rPr>
          <w:rFonts w:ascii="Times New Roman" w:hAnsi="Times New Roman" w:cs="Times New Roman"/>
          <w:sz w:val="24"/>
          <w:szCs w:val="24"/>
        </w:rPr>
        <w:t xml:space="preserve"> than the Jordan four</w:t>
      </w:r>
      <w:r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Strasbourg, </w:t>
      </w:r>
      <w:r w:rsidR="006505CD" w:rsidRPr="00E371E1">
        <w:rPr>
          <w:rFonts w:ascii="Times New Roman" w:hAnsi="Times New Roman" w:cs="Times New Roman"/>
          <w:sz w:val="24"/>
          <w:szCs w:val="24"/>
        </w:rPr>
        <w:t>referring</w:t>
      </w:r>
      <w:r w:rsidRPr="00E371E1">
        <w:rPr>
          <w:rFonts w:ascii="Times New Roman" w:hAnsi="Times New Roman" w:cs="Times New Roman"/>
          <w:sz w:val="24"/>
          <w:szCs w:val="24"/>
        </w:rPr>
        <w:t xml:space="preserve"> to the Jordan cases, had, as early as 2002-03, lost sight of the complexities it had analyzed in the Jordan cases.</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The presence of loyalists in 2003 (Finucane) and 2007 (Brecknell) was not seen as problematic, the mantra of collusion simply adding to the legal obligation to investigate.</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This addition</w:t>
      </w:r>
      <w:r w:rsidR="00BB6781" w:rsidRPr="00E371E1">
        <w:rPr>
          <w:rFonts w:ascii="Times New Roman" w:hAnsi="Times New Roman" w:cs="Times New Roman"/>
          <w:sz w:val="24"/>
          <w:szCs w:val="24"/>
        </w:rPr>
        <w:t xml:space="preserve"> suggests that Strasbourg saw collusion, not just as a</w:t>
      </w:r>
      <w:r w:rsidR="006505CD" w:rsidRPr="00E371E1">
        <w:rPr>
          <w:rFonts w:ascii="Times New Roman" w:hAnsi="Times New Roman" w:cs="Times New Roman"/>
          <w:sz w:val="24"/>
          <w:szCs w:val="24"/>
        </w:rPr>
        <w:t>n</w:t>
      </w:r>
      <w:r w:rsidR="00BB6781" w:rsidRPr="00E371E1">
        <w:rPr>
          <w:rFonts w:ascii="Times New Roman" w:hAnsi="Times New Roman" w:cs="Times New Roman"/>
          <w:sz w:val="24"/>
          <w:szCs w:val="24"/>
        </w:rPr>
        <w:t xml:space="preserve"> allegation</w:t>
      </w:r>
      <w:r w:rsidR="00BA022D" w:rsidRPr="00E371E1">
        <w:rPr>
          <w:rFonts w:ascii="Times New Roman" w:hAnsi="Times New Roman" w:cs="Times New Roman"/>
          <w:sz w:val="24"/>
          <w:szCs w:val="24"/>
        </w:rPr>
        <w:t xml:space="preserve"> in these two cases</w:t>
      </w:r>
      <w:r w:rsidR="00BB6781" w:rsidRPr="00E371E1">
        <w:rPr>
          <w:rFonts w:ascii="Times New Roman" w:hAnsi="Times New Roman" w:cs="Times New Roman"/>
          <w:sz w:val="24"/>
          <w:szCs w:val="24"/>
        </w:rPr>
        <w:t>, but as a thematic reality.</w:t>
      </w:r>
      <w:r w:rsidR="009B4EA3">
        <w:rPr>
          <w:rFonts w:ascii="Times New Roman" w:hAnsi="Times New Roman" w:cs="Times New Roman"/>
          <w:sz w:val="24"/>
          <w:szCs w:val="24"/>
        </w:rPr>
        <w:t xml:space="preserve"> </w:t>
      </w:r>
      <w:r w:rsidR="00BB6781" w:rsidRPr="00E371E1">
        <w:rPr>
          <w:rFonts w:ascii="Times New Roman" w:hAnsi="Times New Roman" w:cs="Times New Roman"/>
          <w:sz w:val="24"/>
          <w:szCs w:val="24"/>
        </w:rPr>
        <w:t>Why fault the authorities for not investigating collusion</w:t>
      </w:r>
      <w:r w:rsidR="00BA022D" w:rsidRPr="00E371E1">
        <w:rPr>
          <w:rFonts w:ascii="Times New Roman" w:hAnsi="Times New Roman" w:cs="Times New Roman"/>
          <w:sz w:val="24"/>
          <w:szCs w:val="24"/>
        </w:rPr>
        <w:t xml:space="preserve">, </w:t>
      </w:r>
      <w:r w:rsidR="00BB6781" w:rsidRPr="00E371E1">
        <w:rPr>
          <w:rFonts w:ascii="Times New Roman" w:hAnsi="Times New Roman" w:cs="Times New Roman"/>
          <w:sz w:val="24"/>
          <w:szCs w:val="24"/>
        </w:rPr>
        <w:t>when there is no evidence of collusion?</w:t>
      </w:r>
      <w:r w:rsidR="009B4EA3">
        <w:rPr>
          <w:rFonts w:ascii="Times New Roman" w:hAnsi="Times New Roman" w:cs="Times New Roman"/>
          <w:sz w:val="24"/>
          <w:szCs w:val="24"/>
        </w:rPr>
        <w:t xml:space="preserve"> </w:t>
      </w:r>
      <w:r w:rsidR="00017D5B" w:rsidRPr="00E371E1">
        <w:rPr>
          <w:rFonts w:ascii="Times New Roman" w:hAnsi="Times New Roman" w:cs="Times New Roman"/>
          <w:sz w:val="24"/>
          <w:szCs w:val="24"/>
        </w:rPr>
        <w:t xml:space="preserve">The concept has a </w:t>
      </w:r>
      <w:r w:rsidR="006505CD" w:rsidRPr="00E371E1">
        <w:rPr>
          <w:rFonts w:ascii="Times New Roman" w:hAnsi="Times New Roman" w:cs="Times New Roman"/>
          <w:sz w:val="24"/>
          <w:szCs w:val="24"/>
        </w:rPr>
        <w:t>meaning</w:t>
      </w:r>
      <w:r w:rsidR="00017D5B" w:rsidRPr="00E371E1">
        <w:rPr>
          <w:rFonts w:ascii="Times New Roman" w:hAnsi="Times New Roman" w:cs="Times New Roman"/>
          <w:sz w:val="24"/>
          <w:szCs w:val="24"/>
        </w:rPr>
        <w:t xml:space="preserve"> in Irish republicanism</w:t>
      </w:r>
      <w:r w:rsidR="003A4FCD">
        <w:rPr>
          <w:rFonts w:ascii="Times New Roman" w:hAnsi="Times New Roman" w:cs="Times New Roman"/>
          <w:sz w:val="24"/>
          <w:szCs w:val="24"/>
        </w:rPr>
        <w:t xml:space="preserve"> (of moral force)</w:t>
      </w:r>
      <w:r w:rsidR="00017D5B" w:rsidRPr="00E371E1">
        <w:rPr>
          <w:rFonts w:ascii="Times New Roman" w:hAnsi="Times New Roman" w:cs="Times New Roman"/>
          <w:sz w:val="24"/>
          <w:szCs w:val="24"/>
        </w:rPr>
        <w:t>, and it does not readily lend itself to dispassionate investigation.</w:t>
      </w:r>
      <w:r w:rsidR="00BB6781" w:rsidRPr="00E371E1">
        <w:rPr>
          <w:rFonts w:ascii="Times New Roman" w:hAnsi="Times New Roman" w:cs="Times New Roman"/>
          <w:sz w:val="24"/>
          <w:szCs w:val="24"/>
        </w:rPr>
        <w:t xml:space="preserve"> </w:t>
      </w:r>
    </w:p>
    <w:p w14:paraId="198A3250" w14:textId="77777777" w:rsidR="00BB6781" w:rsidRPr="00E371E1" w:rsidRDefault="00BB6781" w:rsidP="00E371E1">
      <w:pPr>
        <w:pStyle w:val="NoSpacing"/>
        <w:jc w:val="both"/>
        <w:rPr>
          <w:rFonts w:ascii="Times New Roman" w:hAnsi="Times New Roman" w:cs="Times New Roman"/>
          <w:sz w:val="24"/>
          <w:szCs w:val="24"/>
        </w:rPr>
      </w:pPr>
    </w:p>
    <w:p w14:paraId="79179A5F" w14:textId="77AA0868" w:rsidR="00BB6781" w:rsidRPr="00E371E1" w:rsidRDefault="00BB6781" w:rsidP="00E371E1">
      <w:pPr>
        <w:pStyle w:val="NoSpacing"/>
        <w:jc w:val="both"/>
        <w:rPr>
          <w:rFonts w:ascii="Times New Roman" w:hAnsi="Times New Roman" w:cs="Times New Roman"/>
          <w:b/>
          <w:bCs/>
          <w:sz w:val="24"/>
          <w:szCs w:val="24"/>
        </w:rPr>
      </w:pPr>
      <w:r w:rsidRPr="00E371E1">
        <w:rPr>
          <w:rFonts w:ascii="Times New Roman" w:hAnsi="Times New Roman" w:cs="Times New Roman"/>
          <w:b/>
          <w:bCs/>
          <w:sz w:val="24"/>
          <w:szCs w:val="24"/>
        </w:rPr>
        <w:t>Strasbourg Widens the Law</w:t>
      </w:r>
    </w:p>
    <w:p w14:paraId="26A7E45E" w14:textId="22351DA2" w:rsidR="00BB6781" w:rsidRPr="00E371E1" w:rsidRDefault="00BB6781" w:rsidP="00E371E1">
      <w:pPr>
        <w:pStyle w:val="NoSpacing"/>
        <w:jc w:val="both"/>
        <w:rPr>
          <w:rFonts w:ascii="Times New Roman" w:hAnsi="Times New Roman" w:cs="Times New Roman"/>
          <w:b/>
          <w:bCs/>
          <w:sz w:val="24"/>
          <w:szCs w:val="24"/>
        </w:rPr>
      </w:pPr>
    </w:p>
    <w:p w14:paraId="6ABE880C" w14:textId="35C14F3B" w:rsidR="002D7CBF" w:rsidRPr="00E371E1" w:rsidRDefault="002D7CBF"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The law on article 2 procedural has been traced in the nine NI cases considered.</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However, elsewhere, Strasbourg widened the net c</w:t>
      </w:r>
      <w:r w:rsidR="00EF105D" w:rsidRPr="00E371E1">
        <w:rPr>
          <w:rFonts w:ascii="Times New Roman" w:hAnsi="Times New Roman" w:cs="Times New Roman"/>
          <w:sz w:val="24"/>
          <w:szCs w:val="24"/>
        </w:rPr>
        <w:t>onfusingly</w:t>
      </w:r>
      <w:r w:rsidRPr="00E371E1">
        <w:rPr>
          <w:rFonts w:ascii="Times New Roman" w:hAnsi="Times New Roman" w:cs="Times New Roman"/>
          <w:sz w:val="24"/>
          <w:szCs w:val="24"/>
        </w:rPr>
        <w:t>.</w:t>
      </w:r>
    </w:p>
    <w:p w14:paraId="4E0E6CB9" w14:textId="3902568F" w:rsidR="002D7CBF" w:rsidRPr="00E371E1" w:rsidRDefault="002D7CBF" w:rsidP="00E371E1">
      <w:pPr>
        <w:pStyle w:val="NoSpacing"/>
        <w:jc w:val="both"/>
        <w:rPr>
          <w:rFonts w:ascii="Times New Roman" w:hAnsi="Times New Roman" w:cs="Times New Roman"/>
          <w:sz w:val="24"/>
          <w:szCs w:val="24"/>
        </w:rPr>
      </w:pPr>
    </w:p>
    <w:p w14:paraId="29BF7BE6" w14:textId="1DA3C1F2" w:rsidR="002D7CBF" w:rsidRPr="00E371E1" w:rsidRDefault="00953BFB"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In </w:t>
      </w:r>
      <w:r w:rsidRPr="00E371E1">
        <w:rPr>
          <w:rFonts w:ascii="Times New Roman" w:hAnsi="Times New Roman" w:cs="Times New Roman"/>
          <w:b/>
          <w:bCs/>
          <w:sz w:val="24"/>
          <w:szCs w:val="24"/>
        </w:rPr>
        <w:t>Silih v Slovenia, ECtHR (grand chamber), 9 April 2009</w:t>
      </w:r>
      <w:r w:rsidRPr="00E371E1">
        <w:rPr>
          <w:rFonts w:ascii="Times New Roman" w:hAnsi="Times New Roman" w:cs="Times New Roman"/>
          <w:sz w:val="24"/>
          <w:szCs w:val="24"/>
        </w:rPr>
        <w:t xml:space="preserve">, a medical negligence case, where the parents pursued civil and criminal remedies </w:t>
      </w:r>
      <w:r w:rsidR="00270F35" w:rsidRPr="00E371E1">
        <w:rPr>
          <w:rFonts w:ascii="Times New Roman" w:hAnsi="Times New Roman" w:cs="Times New Roman"/>
          <w:sz w:val="24"/>
          <w:szCs w:val="24"/>
        </w:rPr>
        <w:t xml:space="preserve">unsuccessfully </w:t>
      </w:r>
      <w:r w:rsidRPr="00E371E1">
        <w:rPr>
          <w:rFonts w:ascii="Times New Roman" w:hAnsi="Times New Roman" w:cs="Times New Roman"/>
          <w:sz w:val="24"/>
          <w:szCs w:val="24"/>
        </w:rPr>
        <w:t>on behalf of an adult son</w:t>
      </w:r>
      <w:r w:rsidR="00017D5B" w:rsidRPr="00E371E1">
        <w:rPr>
          <w:rFonts w:ascii="Times New Roman" w:hAnsi="Times New Roman" w:cs="Times New Roman"/>
          <w:sz w:val="24"/>
          <w:szCs w:val="24"/>
        </w:rPr>
        <w:t xml:space="preserve"> who died</w:t>
      </w:r>
      <w:r w:rsidRPr="00E371E1">
        <w:rPr>
          <w:rFonts w:ascii="Times New Roman" w:hAnsi="Times New Roman" w:cs="Times New Roman"/>
          <w:sz w:val="24"/>
          <w:szCs w:val="24"/>
        </w:rPr>
        <w:t xml:space="preserve">, Strasbourg </w:t>
      </w:r>
      <w:r w:rsidR="00511946" w:rsidRPr="00E371E1">
        <w:rPr>
          <w:rFonts w:ascii="Times New Roman" w:hAnsi="Times New Roman" w:cs="Times New Roman"/>
          <w:sz w:val="24"/>
          <w:szCs w:val="24"/>
        </w:rPr>
        <w:t>revised the procedural obligation implied by the substantive article 2 one.</w:t>
      </w:r>
      <w:r w:rsidR="009B4EA3">
        <w:rPr>
          <w:rFonts w:ascii="Times New Roman" w:hAnsi="Times New Roman" w:cs="Times New Roman"/>
          <w:sz w:val="24"/>
          <w:szCs w:val="24"/>
        </w:rPr>
        <w:t xml:space="preserve"> </w:t>
      </w:r>
      <w:r w:rsidR="00511946" w:rsidRPr="00E371E1">
        <w:rPr>
          <w:rFonts w:ascii="Times New Roman" w:hAnsi="Times New Roman" w:cs="Times New Roman"/>
          <w:sz w:val="24"/>
          <w:szCs w:val="24"/>
        </w:rPr>
        <w:t>Because of the way it had conducted article 2 cases, ‘the Court conclude[d] that the procedural obligation to carry out an effective investigation under Article 2 ha[d] evolved into a separate and autonomous duty.’ (</w:t>
      </w:r>
      <w:proofErr w:type="gramStart"/>
      <w:r w:rsidR="00511946" w:rsidRPr="00E371E1">
        <w:rPr>
          <w:rFonts w:ascii="Times New Roman" w:hAnsi="Times New Roman" w:cs="Times New Roman"/>
          <w:sz w:val="24"/>
          <w:szCs w:val="24"/>
        </w:rPr>
        <w:t>para</w:t>
      </w:r>
      <w:proofErr w:type="gramEnd"/>
      <w:r w:rsidR="00511946" w:rsidRPr="00E371E1">
        <w:rPr>
          <w:rFonts w:ascii="Times New Roman" w:hAnsi="Times New Roman" w:cs="Times New Roman"/>
          <w:sz w:val="24"/>
          <w:szCs w:val="24"/>
        </w:rPr>
        <w:t xml:space="preserve"> 159)</w:t>
      </w:r>
      <w:r w:rsidR="009B4EA3">
        <w:rPr>
          <w:rFonts w:ascii="Times New Roman" w:hAnsi="Times New Roman" w:cs="Times New Roman"/>
          <w:sz w:val="24"/>
          <w:szCs w:val="24"/>
        </w:rPr>
        <w:t xml:space="preserve"> </w:t>
      </w:r>
      <w:r w:rsidR="00BA022D" w:rsidRPr="00E371E1">
        <w:rPr>
          <w:rFonts w:ascii="Times New Roman" w:hAnsi="Times New Roman" w:cs="Times New Roman"/>
          <w:sz w:val="24"/>
          <w:szCs w:val="24"/>
        </w:rPr>
        <w:t>That was it: no discussion of member states agree</w:t>
      </w:r>
      <w:r w:rsidR="00776346" w:rsidRPr="00E371E1">
        <w:rPr>
          <w:rFonts w:ascii="Times New Roman" w:hAnsi="Times New Roman" w:cs="Times New Roman"/>
          <w:sz w:val="24"/>
          <w:szCs w:val="24"/>
        </w:rPr>
        <w:t>ing</w:t>
      </w:r>
      <w:r w:rsidR="00BA022D" w:rsidRPr="00E371E1">
        <w:rPr>
          <w:rFonts w:ascii="Times New Roman" w:hAnsi="Times New Roman" w:cs="Times New Roman"/>
          <w:sz w:val="24"/>
          <w:szCs w:val="24"/>
        </w:rPr>
        <w:t xml:space="preserve"> the convention and protocols, and the ECtHR appl</w:t>
      </w:r>
      <w:r w:rsidR="00776346" w:rsidRPr="00E371E1">
        <w:rPr>
          <w:rFonts w:ascii="Times New Roman" w:hAnsi="Times New Roman" w:cs="Times New Roman"/>
          <w:sz w:val="24"/>
          <w:szCs w:val="24"/>
        </w:rPr>
        <w:t>ying</w:t>
      </w:r>
      <w:r w:rsidR="00BA022D" w:rsidRPr="00E371E1">
        <w:rPr>
          <w:rFonts w:ascii="Times New Roman" w:hAnsi="Times New Roman" w:cs="Times New Roman"/>
          <w:sz w:val="24"/>
          <w:szCs w:val="24"/>
        </w:rPr>
        <w:t xml:space="preserve"> the law to facts.</w:t>
      </w:r>
      <w:r w:rsidR="009B4EA3">
        <w:rPr>
          <w:rFonts w:ascii="Times New Roman" w:hAnsi="Times New Roman" w:cs="Times New Roman"/>
          <w:sz w:val="24"/>
          <w:szCs w:val="24"/>
        </w:rPr>
        <w:t xml:space="preserve"> </w:t>
      </w:r>
      <w:r w:rsidR="00776346" w:rsidRPr="00E371E1">
        <w:rPr>
          <w:rFonts w:ascii="Times New Roman" w:hAnsi="Times New Roman" w:cs="Times New Roman"/>
          <w:sz w:val="24"/>
          <w:szCs w:val="24"/>
        </w:rPr>
        <w:t>I</w:t>
      </w:r>
      <w:r w:rsidR="00D12AA3">
        <w:rPr>
          <w:rFonts w:ascii="Times New Roman" w:hAnsi="Times New Roman" w:cs="Times New Roman"/>
          <w:sz w:val="24"/>
          <w:szCs w:val="24"/>
        </w:rPr>
        <w:t>f</w:t>
      </w:r>
      <w:r w:rsidR="00776346" w:rsidRPr="00E371E1">
        <w:rPr>
          <w:rFonts w:ascii="Times New Roman" w:hAnsi="Times New Roman" w:cs="Times New Roman"/>
          <w:sz w:val="24"/>
          <w:szCs w:val="24"/>
        </w:rPr>
        <w:t xml:space="preserve"> the procedural right was implied, how did it fly the article 2 nest?</w:t>
      </w:r>
      <w:r w:rsidR="009B4EA3">
        <w:rPr>
          <w:rFonts w:ascii="Times New Roman" w:hAnsi="Times New Roman" w:cs="Times New Roman"/>
          <w:sz w:val="24"/>
          <w:szCs w:val="24"/>
        </w:rPr>
        <w:t xml:space="preserve"> </w:t>
      </w:r>
      <w:r w:rsidR="00776346" w:rsidRPr="00E371E1">
        <w:rPr>
          <w:rFonts w:ascii="Times New Roman" w:hAnsi="Times New Roman" w:cs="Times New Roman"/>
          <w:sz w:val="24"/>
          <w:szCs w:val="24"/>
        </w:rPr>
        <w:t>And what did autonomy mean?</w:t>
      </w:r>
    </w:p>
    <w:p w14:paraId="1F804534" w14:textId="77777777" w:rsidR="00511946" w:rsidRPr="00E371E1" w:rsidRDefault="00511946" w:rsidP="00E371E1">
      <w:pPr>
        <w:pStyle w:val="NoSpacing"/>
        <w:jc w:val="both"/>
        <w:rPr>
          <w:rFonts w:ascii="Times New Roman" w:hAnsi="Times New Roman" w:cs="Times New Roman"/>
          <w:sz w:val="24"/>
          <w:szCs w:val="24"/>
        </w:rPr>
      </w:pPr>
    </w:p>
    <w:p w14:paraId="2C6AFD33" w14:textId="5AA4953C" w:rsidR="00511946" w:rsidRPr="00E371E1" w:rsidRDefault="00511946"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This was a case of the court </w:t>
      </w:r>
      <w:r w:rsidR="00776346" w:rsidRPr="00E371E1">
        <w:rPr>
          <w:rFonts w:ascii="Times New Roman" w:hAnsi="Times New Roman" w:cs="Times New Roman"/>
          <w:sz w:val="24"/>
          <w:szCs w:val="24"/>
        </w:rPr>
        <w:t xml:space="preserve">effectively </w:t>
      </w:r>
      <w:r w:rsidRPr="00E371E1">
        <w:rPr>
          <w:rFonts w:ascii="Times New Roman" w:hAnsi="Times New Roman" w:cs="Times New Roman"/>
          <w:sz w:val="24"/>
          <w:szCs w:val="24"/>
        </w:rPr>
        <w:t>amending the convention</w:t>
      </w:r>
      <w:r w:rsidR="00776346" w:rsidRPr="00E371E1">
        <w:rPr>
          <w:rFonts w:ascii="Times New Roman" w:hAnsi="Times New Roman" w:cs="Times New Roman"/>
          <w:sz w:val="24"/>
          <w:szCs w:val="24"/>
        </w:rPr>
        <w:t xml:space="preserve"> to add a new, independent right</w:t>
      </w:r>
      <w:r w:rsidRPr="00E371E1">
        <w:rPr>
          <w:rFonts w:ascii="Times New Roman" w:hAnsi="Times New Roman" w:cs="Times New Roman"/>
          <w:sz w:val="24"/>
          <w:szCs w:val="24"/>
        </w:rPr>
        <w:t>, which must appear strange to common lawyers.</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And it would have a surprising consequence in UK law</w:t>
      </w:r>
      <w:r w:rsidR="00270F35" w:rsidRPr="00E371E1">
        <w:rPr>
          <w:rFonts w:ascii="Times New Roman" w:hAnsi="Times New Roman" w:cs="Times New Roman"/>
          <w:sz w:val="24"/>
          <w:szCs w:val="24"/>
        </w:rPr>
        <w:t xml:space="preserve"> (see below)</w:t>
      </w:r>
      <w:r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EF105D" w:rsidRPr="00E371E1">
        <w:rPr>
          <w:rFonts w:ascii="Times New Roman" w:hAnsi="Times New Roman" w:cs="Times New Roman"/>
          <w:sz w:val="24"/>
          <w:szCs w:val="24"/>
        </w:rPr>
        <w:t>The reason is related to the following point.</w:t>
      </w:r>
      <w:r w:rsidR="00270F35" w:rsidRPr="00E371E1">
        <w:rPr>
          <w:rStyle w:val="FootnoteReference"/>
          <w:rFonts w:ascii="Times New Roman" w:hAnsi="Times New Roman" w:cs="Times New Roman"/>
          <w:sz w:val="24"/>
          <w:szCs w:val="24"/>
        </w:rPr>
        <w:footnoteReference w:id="13"/>
      </w:r>
    </w:p>
    <w:p w14:paraId="7CDCE5DC" w14:textId="77777777" w:rsidR="00511946" w:rsidRPr="00E371E1" w:rsidRDefault="00511946" w:rsidP="00E371E1">
      <w:pPr>
        <w:pStyle w:val="NoSpacing"/>
        <w:jc w:val="both"/>
        <w:rPr>
          <w:rFonts w:ascii="Times New Roman" w:hAnsi="Times New Roman" w:cs="Times New Roman"/>
          <w:sz w:val="24"/>
          <w:szCs w:val="24"/>
        </w:rPr>
      </w:pPr>
    </w:p>
    <w:p w14:paraId="2340828B" w14:textId="55671732" w:rsidR="00511946" w:rsidRPr="00E371E1" w:rsidRDefault="00511946"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The grand chamber </w:t>
      </w:r>
      <w:r w:rsidR="00776346" w:rsidRPr="00E371E1">
        <w:rPr>
          <w:rFonts w:ascii="Times New Roman" w:hAnsi="Times New Roman" w:cs="Times New Roman"/>
          <w:sz w:val="24"/>
          <w:szCs w:val="24"/>
        </w:rPr>
        <w:t xml:space="preserve">in Silih </w:t>
      </w:r>
      <w:r w:rsidRPr="00E371E1">
        <w:rPr>
          <w:rFonts w:ascii="Times New Roman" w:hAnsi="Times New Roman" w:cs="Times New Roman"/>
          <w:sz w:val="24"/>
          <w:szCs w:val="24"/>
        </w:rPr>
        <w:t xml:space="preserve">also </w:t>
      </w:r>
      <w:r w:rsidR="00EF105D" w:rsidRPr="00E371E1">
        <w:rPr>
          <w:rFonts w:ascii="Times New Roman" w:hAnsi="Times New Roman" w:cs="Times New Roman"/>
          <w:sz w:val="24"/>
          <w:szCs w:val="24"/>
        </w:rPr>
        <w:t>addressed its temporal jurisdiction, because the death, which had occurred on 19 May 1993, pre-dated Slovenia’s ratification of the convention, on 28 June 1994.</w:t>
      </w:r>
    </w:p>
    <w:p w14:paraId="618E8039" w14:textId="77777777" w:rsidR="00EF105D" w:rsidRPr="00E371E1" w:rsidRDefault="00EF105D" w:rsidP="00E371E1">
      <w:pPr>
        <w:pStyle w:val="NoSpacing"/>
        <w:jc w:val="both"/>
        <w:rPr>
          <w:rFonts w:ascii="Times New Roman" w:hAnsi="Times New Roman" w:cs="Times New Roman"/>
          <w:sz w:val="24"/>
          <w:szCs w:val="24"/>
        </w:rPr>
      </w:pPr>
    </w:p>
    <w:p w14:paraId="32F7A555" w14:textId="259BE93A" w:rsidR="00EF105D" w:rsidRPr="00E371E1" w:rsidRDefault="00EF105D"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Strasbourg held: ‘…having regard to the principle of legal certainty, the Court’s temporal jurisdiction as regards compliance with the procedural obligation of Article 2 in respect of deaths that occur before the critical date is not open-ended.’</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w:t>
      </w:r>
      <w:proofErr w:type="gramStart"/>
      <w:r w:rsidRPr="00E371E1">
        <w:rPr>
          <w:rFonts w:ascii="Times New Roman" w:hAnsi="Times New Roman" w:cs="Times New Roman"/>
          <w:sz w:val="24"/>
          <w:szCs w:val="24"/>
        </w:rPr>
        <w:t>para</w:t>
      </w:r>
      <w:proofErr w:type="gramEnd"/>
      <w:r w:rsidRPr="00E371E1">
        <w:rPr>
          <w:rFonts w:ascii="Times New Roman" w:hAnsi="Times New Roman" w:cs="Times New Roman"/>
          <w:sz w:val="24"/>
          <w:szCs w:val="24"/>
        </w:rPr>
        <w:t xml:space="preserve"> 161)</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Not open-ended was explained by three points.</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‘First</w:t>
      </w:r>
      <w:r w:rsidR="006505CD" w:rsidRPr="00E371E1">
        <w:rPr>
          <w:rFonts w:ascii="Times New Roman" w:hAnsi="Times New Roman" w:cs="Times New Roman"/>
          <w:sz w:val="24"/>
          <w:szCs w:val="24"/>
        </w:rPr>
        <w:t xml:space="preserve"> where</w:t>
      </w:r>
      <w:r w:rsidRPr="00E371E1">
        <w:rPr>
          <w:rFonts w:ascii="Times New Roman" w:hAnsi="Times New Roman" w:cs="Times New Roman"/>
          <w:sz w:val="24"/>
          <w:szCs w:val="24"/>
        </w:rPr>
        <w:t xml:space="preserve"> the death occurred before the critical date</w:t>
      </w:r>
      <w:r w:rsidR="00776346" w:rsidRPr="00E371E1">
        <w:rPr>
          <w:rFonts w:ascii="Times New Roman" w:hAnsi="Times New Roman" w:cs="Times New Roman"/>
          <w:sz w:val="24"/>
          <w:szCs w:val="24"/>
        </w:rPr>
        <w:t xml:space="preserve"> [of ratification]</w:t>
      </w:r>
      <w:r w:rsidRPr="00E371E1">
        <w:rPr>
          <w:rFonts w:ascii="Times New Roman" w:hAnsi="Times New Roman" w:cs="Times New Roman"/>
          <w:sz w:val="24"/>
          <w:szCs w:val="24"/>
        </w:rPr>
        <w:t>, only procedural acts and/or omissions occurring after that date can fall with the Court’s temporal jurisdiction.’</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However, the second </w:t>
      </w:r>
      <w:r w:rsidR="00270F35" w:rsidRPr="00E371E1">
        <w:rPr>
          <w:rFonts w:ascii="Times New Roman" w:hAnsi="Times New Roman" w:cs="Times New Roman"/>
          <w:sz w:val="24"/>
          <w:szCs w:val="24"/>
        </w:rPr>
        <w:t xml:space="preserve">point </w:t>
      </w:r>
      <w:r w:rsidRPr="00E371E1">
        <w:rPr>
          <w:rFonts w:ascii="Times New Roman" w:hAnsi="Times New Roman" w:cs="Times New Roman"/>
          <w:sz w:val="24"/>
          <w:szCs w:val="24"/>
        </w:rPr>
        <w:t>was the need for ‘a genuine connection between the death and the entry into force of the Convention’.</w:t>
      </w:r>
      <w:r w:rsidR="009B4EA3">
        <w:rPr>
          <w:rFonts w:ascii="Times New Roman" w:hAnsi="Times New Roman" w:cs="Times New Roman"/>
          <w:sz w:val="24"/>
          <w:szCs w:val="24"/>
        </w:rPr>
        <w:t xml:space="preserve"> </w:t>
      </w:r>
      <w:r w:rsidR="00776346" w:rsidRPr="00E371E1">
        <w:rPr>
          <w:rFonts w:ascii="Times New Roman" w:hAnsi="Times New Roman" w:cs="Times New Roman"/>
          <w:sz w:val="24"/>
          <w:szCs w:val="24"/>
        </w:rPr>
        <w:t>This was never explained.</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And the third was: ‘the Court would not exclude that in certain circumstances the connection could also be based on the need to ensure that the guarantees and the underlying values of the Convention are protected in a real and effective manner.’</w:t>
      </w:r>
      <w:r w:rsidR="00270F35" w:rsidRPr="00E371E1">
        <w:rPr>
          <w:rFonts w:ascii="Times New Roman" w:hAnsi="Times New Roman" w:cs="Times New Roman"/>
          <w:sz w:val="24"/>
          <w:szCs w:val="24"/>
        </w:rPr>
        <w:t xml:space="preserve"> (</w:t>
      </w:r>
      <w:proofErr w:type="gramStart"/>
      <w:r w:rsidR="00270F35" w:rsidRPr="00E371E1">
        <w:rPr>
          <w:rFonts w:ascii="Times New Roman" w:hAnsi="Times New Roman" w:cs="Times New Roman"/>
          <w:sz w:val="24"/>
          <w:szCs w:val="24"/>
        </w:rPr>
        <w:t>paras</w:t>
      </w:r>
      <w:proofErr w:type="gramEnd"/>
      <w:r w:rsidR="00270F35" w:rsidRPr="00E371E1">
        <w:rPr>
          <w:rFonts w:ascii="Times New Roman" w:hAnsi="Times New Roman" w:cs="Times New Roman"/>
          <w:sz w:val="24"/>
          <w:szCs w:val="24"/>
        </w:rPr>
        <w:t xml:space="preserve"> 162-3).</w:t>
      </w:r>
      <w:r w:rsidR="009B4EA3">
        <w:rPr>
          <w:rFonts w:ascii="Times New Roman" w:hAnsi="Times New Roman" w:cs="Times New Roman"/>
          <w:sz w:val="24"/>
          <w:szCs w:val="24"/>
        </w:rPr>
        <w:t xml:space="preserve"> </w:t>
      </w:r>
      <w:r w:rsidR="00776346" w:rsidRPr="00E371E1">
        <w:rPr>
          <w:rFonts w:ascii="Times New Roman" w:hAnsi="Times New Roman" w:cs="Times New Roman"/>
          <w:sz w:val="24"/>
          <w:szCs w:val="24"/>
        </w:rPr>
        <w:t>But why protect the underlying values of the convention, when another rule of international law determines whether the member state is bound by an international agreement or not?</w:t>
      </w:r>
    </w:p>
    <w:p w14:paraId="68890F2E" w14:textId="77777777" w:rsidR="008B44E1" w:rsidRPr="00E371E1" w:rsidRDefault="008B44E1" w:rsidP="00E371E1">
      <w:pPr>
        <w:pStyle w:val="NoSpacing"/>
        <w:jc w:val="both"/>
        <w:rPr>
          <w:rFonts w:ascii="Times New Roman" w:hAnsi="Times New Roman" w:cs="Times New Roman"/>
          <w:sz w:val="24"/>
          <w:szCs w:val="24"/>
        </w:rPr>
      </w:pPr>
    </w:p>
    <w:p w14:paraId="0A75E96F" w14:textId="62844F92" w:rsidR="008B44E1" w:rsidRPr="00E371E1" w:rsidRDefault="008B44E1"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Judges Bratza and Turmen dissented powerfully</w:t>
      </w:r>
      <w:r w:rsidR="00F15260" w:rsidRPr="00E371E1">
        <w:rPr>
          <w:rFonts w:ascii="Times New Roman" w:hAnsi="Times New Roman" w:cs="Times New Roman"/>
          <w:sz w:val="24"/>
          <w:szCs w:val="24"/>
        </w:rPr>
        <w:t>: ‘Divorcing the procedural obligation from the death which gave rise to it in this manner would, in our view, be tantamount to giving retroactive effect to the Convention and rendering nugatory the State’s declaration recognising the Court’s competence to receive individual applications…’</w:t>
      </w:r>
      <w:r w:rsidR="00017D5B" w:rsidRPr="00E371E1">
        <w:rPr>
          <w:rFonts w:ascii="Times New Roman" w:hAnsi="Times New Roman" w:cs="Times New Roman"/>
          <w:sz w:val="24"/>
          <w:szCs w:val="24"/>
        </w:rPr>
        <w:t>.</w:t>
      </w:r>
      <w:r w:rsidR="00F15260" w:rsidRPr="00E371E1">
        <w:rPr>
          <w:rFonts w:ascii="Times New Roman" w:hAnsi="Times New Roman" w:cs="Times New Roman"/>
          <w:sz w:val="24"/>
          <w:szCs w:val="24"/>
        </w:rPr>
        <w:t xml:space="preserve"> (p 60)</w:t>
      </w:r>
    </w:p>
    <w:p w14:paraId="22275BFD" w14:textId="77777777" w:rsidR="00270F35" w:rsidRPr="00E371E1" w:rsidRDefault="00270F35" w:rsidP="00E371E1">
      <w:pPr>
        <w:pStyle w:val="NoSpacing"/>
        <w:jc w:val="both"/>
        <w:rPr>
          <w:rFonts w:ascii="Times New Roman" w:hAnsi="Times New Roman" w:cs="Times New Roman"/>
          <w:sz w:val="24"/>
          <w:szCs w:val="24"/>
        </w:rPr>
      </w:pPr>
    </w:p>
    <w:p w14:paraId="73ABD56B" w14:textId="270AB42F" w:rsidR="00270F35" w:rsidRPr="00E371E1" w:rsidRDefault="00270F35"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In </w:t>
      </w:r>
      <w:r w:rsidRPr="00E371E1">
        <w:rPr>
          <w:rFonts w:ascii="Times New Roman" w:hAnsi="Times New Roman" w:cs="Times New Roman"/>
          <w:b/>
          <w:bCs/>
          <w:sz w:val="24"/>
          <w:szCs w:val="24"/>
        </w:rPr>
        <w:t>Janowiec v Russia, ECtHR (grand chamber), 21 October 2013</w:t>
      </w:r>
      <w:r w:rsidRPr="00E371E1">
        <w:rPr>
          <w:rFonts w:ascii="Times New Roman" w:hAnsi="Times New Roman" w:cs="Times New Roman"/>
          <w:sz w:val="24"/>
          <w:szCs w:val="24"/>
        </w:rPr>
        <w:t>, Strasbourg deal</w:t>
      </w:r>
      <w:r w:rsidR="00EB705E" w:rsidRPr="00E371E1">
        <w:rPr>
          <w:rFonts w:ascii="Times New Roman" w:hAnsi="Times New Roman" w:cs="Times New Roman"/>
          <w:sz w:val="24"/>
          <w:szCs w:val="24"/>
        </w:rPr>
        <w:t xml:space="preserve">t </w:t>
      </w:r>
      <w:r w:rsidRPr="00E371E1">
        <w:rPr>
          <w:rFonts w:ascii="Times New Roman" w:hAnsi="Times New Roman" w:cs="Times New Roman"/>
          <w:sz w:val="24"/>
          <w:szCs w:val="24"/>
        </w:rPr>
        <w:t xml:space="preserve">with the Katyn forest massacre of 1940, where Polish military officers were killed, not by the Nazis as </w:t>
      </w:r>
      <w:r w:rsidR="00EB705E" w:rsidRPr="00E371E1">
        <w:rPr>
          <w:rFonts w:ascii="Times New Roman" w:hAnsi="Times New Roman" w:cs="Times New Roman"/>
          <w:sz w:val="24"/>
          <w:szCs w:val="24"/>
        </w:rPr>
        <w:t>believ</w:t>
      </w:r>
      <w:r w:rsidRPr="00E371E1">
        <w:rPr>
          <w:rFonts w:ascii="Times New Roman" w:hAnsi="Times New Roman" w:cs="Times New Roman"/>
          <w:sz w:val="24"/>
          <w:szCs w:val="24"/>
        </w:rPr>
        <w:t xml:space="preserve">ed at the time, but by </w:t>
      </w:r>
      <w:r w:rsidR="00C367B0">
        <w:rPr>
          <w:rFonts w:ascii="Times New Roman" w:hAnsi="Times New Roman" w:cs="Times New Roman"/>
          <w:sz w:val="24"/>
          <w:szCs w:val="24"/>
        </w:rPr>
        <w:t xml:space="preserve">Soviet </w:t>
      </w:r>
      <w:r w:rsidR="004D2C72">
        <w:rPr>
          <w:rFonts w:ascii="Times New Roman" w:hAnsi="Times New Roman" w:cs="Times New Roman"/>
          <w:sz w:val="24"/>
          <w:szCs w:val="24"/>
        </w:rPr>
        <w:t xml:space="preserve">Union </w:t>
      </w:r>
      <w:r w:rsidRPr="00E371E1">
        <w:rPr>
          <w:rFonts w:ascii="Times New Roman" w:hAnsi="Times New Roman" w:cs="Times New Roman"/>
          <w:sz w:val="24"/>
          <w:szCs w:val="24"/>
        </w:rPr>
        <w:t>Russians</w:t>
      </w:r>
      <w:r w:rsidR="00EB705E" w:rsidRPr="00E371E1">
        <w:rPr>
          <w:rFonts w:ascii="Times New Roman" w:hAnsi="Times New Roman" w:cs="Times New Roman"/>
          <w:sz w:val="24"/>
          <w:szCs w:val="24"/>
        </w:rPr>
        <w:t xml:space="preserve"> (as indicated by an international commission in 1943).</w:t>
      </w:r>
      <w:r w:rsidR="009B4EA3">
        <w:rPr>
          <w:rFonts w:ascii="Times New Roman" w:hAnsi="Times New Roman" w:cs="Times New Roman"/>
          <w:sz w:val="24"/>
          <w:szCs w:val="24"/>
        </w:rPr>
        <w:t xml:space="preserve"> </w:t>
      </w:r>
      <w:r w:rsidR="00EB705E" w:rsidRPr="00E371E1">
        <w:rPr>
          <w:rFonts w:ascii="Times New Roman" w:hAnsi="Times New Roman" w:cs="Times New Roman"/>
          <w:sz w:val="24"/>
          <w:szCs w:val="24"/>
        </w:rPr>
        <w:t>Russia did not admit responsibility until 1990.</w:t>
      </w:r>
      <w:r w:rsidR="009B4EA3">
        <w:rPr>
          <w:rFonts w:ascii="Times New Roman" w:hAnsi="Times New Roman" w:cs="Times New Roman"/>
          <w:sz w:val="24"/>
          <w:szCs w:val="24"/>
        </w:rPr>
        <w:t xml:space="preserve"> </w:t>
      </w:r>
      <w:r w:rsidR="00EB705E" w:rsidRPr="00E371E1">
        <w:rPr>
          <w:rFonts w:ascii="Times New Roman" w:hAnsi="Times New Roman" w:cs="Times New Roman"/>
          <w:sz w:val="24"/>
          <w:szCs w:val="24"/>
        </w:rPr>
        <w:t>It then ratified the convention in 1998.</w:t>
      </w:r>
      <w:r w:rsidR="009B4EA3">
        <w:rPr>
          <w:rFonts w:ascii="Times New Roman" w:hAnsi="Times New Roman" w:cs="Times New Roman"/>
          <w:sz w:val="24"/>
          <w:szCs w:val="24"/>
        </w:rPr>
        <w:t xml:space="preserve"> </w:t>
      </w:r>
      <w:r w:rsidR="00EB705E" w:rsidRPr="00E371E1">
        <w:rPr>
          <w:rFonts w:ascii="Times New Roman" w:hAnsi="Times New Roman" w:cs="Times New Roman"/>
          <w:sz w:val="24"/>
          <w:szCs w:val="24"/>
        </w:rPr>
        <w:t>The court decided, by 13 votes to 4, that it was not competent to consider article 2, substantive or procedural</w:t>
      </w:r>
      <w:r w:rsidR="00776346" w:rsidRPr="00E371E1">
        <w:rPr>
          <w:rFonts w:ascii="Times New Roman" w:hAnsi="Times New Roman" w:cs="Times New Roman"/>
          <w:sz w:val="24"/>
          <w:szCs w:val="24"/>
        </w:rPr>
        <w:t>, and this because of the passage of time from 1940 to 1998</w:t>
      </w:r>
      <w:r w:rsidR="00EB705E"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3A4FCD">
        <w:rPr>
          <w:rFonts w:ascii="Times New Roman" w:hAnsi="Times New Roman" w:cs="Times New Roman"/>
          <w:sz w:val="24"/>
          <w:szCs w:val="24"/>
        </w:rPr>
        <w:t>(The applicants had appealed to the grand chamber).</w:t>
      </w:r>
    </w:p>
    <w:p w14:paraId="6029776F" w14:textId="77777777" w:rsidR="00EB705E" w:rsidRPr="00E371E1" w:rsidRDefault="00EB705E" w:rsidP="00E371E1">
      <w:pPr>
        <w:pStyle w:val="NoSpacing"/>
        <w:jc w:val="both"/>
        <w:rPr>
          <w:rFonts w:ascii="Times New Roman" w:hAnsi="Times New Roman" w:cs="Times New Roman"/>
          <w:sz w:val="24"/>
          <w:szCs w:val="24"/>
        </w:rPr>
      </w:pPr>
    </w:p>
    <w:p w14:paraId="55315227" w14:textId="0EB69F47" w:rsidR="00EB705E" w:rsidRPr="00E371E1" w:rsidRDefault="00EB705E"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However, faced with th</w:t>
      </w:r>
      <w:r w:rsidR="003A4FCD">
        <w:rPr>
          <w:rFonts w:ascii="Times New Roman" w:hAnsi="Times New Roman" w:cs="Times New Roman"/>
          <w:sz w:val="24"/>
          <w:szCs w:val="24"/>
        </w:rPr>
        <w:t>e</w:t>
      </w:r>
      <w:r w:rsidRPr="00E371E1">
        <w:rPr>
          <w:rFonts w:ascii="Times New Roman" w:hAnsi="Times New Roman" w:cs="Times New Roman"/>
          <w:sz w:val="24"/>
          <w:szCs w:val="24"/>
        </w:rPr>
        <w:t xml:space="preserve"> period</w:t>
      </w:r>
      <w:r w:rsidR="003A4FCD">
        <w:rPr>
          <w:rFonts w:ascii="Times New Roman" w:hAnsi="Times New Roman" w:cs="Times New Roman"/>
          <w:sz w:val="24"/>
          <w:szCs w:val="24"/>
        </w:rPr>
        <w:t xml:space="preserve"> 1940 to 1998</w:t>
      </w:r>
      <w:r w:rsidRPr="00E371E1">
        <w:rPr>
          <w:rFonts w:ascii="Times New Roman" w:hAnsi="Times New Roman" w:cs="Times New Roman"/>
          <w:sz w:val="24"/>
          <w:szCs w:val="24"/>
        </w:rPr>
        <w:t>, the court w</w:t>
      </w:r>
      <w:r w:rsidR="00467495" w:rsidRPr="00E371E1">
        <w:rPr>
          <w:rFonts w:ascii="Times New Roman" w:hAnsi="Times New Roman" w:cs="Times New Roman"/>
          <w:sz w:val="24"/>
          <w:szCs w:val="24"/>
        </w:rPr>
        <w:t>ent</w:t>
      </w:r>
      <w:r w:rsidRPr="00E371E1">
        <w:rPr>
          <w:rFonts w:ascii="Times New Roman" w:hAnsi="Times New Roman" w:cs="Times New Roman"/>
          <w:sz w:val="24"/>
          <w:szCs w:val="24"/>
        </w:rPr>
        <w:t xml:space="preserve"> back to Silih’s case</w:t>
      </w:r>
      <w:r w:rsidR="00467495" w:rsidRPr="00E371E1">
        <w:rPr>
          <w:rFonts w:ascii="Times New Roman" w:hAnsi="Times New Roman" w:cs="Times New Roman"/>
          <w:sz w:val="24"/>
          <w:szCs w:val="24"/>
        </w:rPr>
        <w:t xml:space="preserve"> of four years’ before</w:t>
      </w:r>
      <w:r w:rsidRPr="00E371E1">
        <w:rPr>
          <w:rFonts w:ascii="Times New Roman" w:hAnsi="Times New Roman" w:cs="Times New Roman"/>
          <w:sz w:val="24"/>
          <w:szCs w:val="24"/>
        </w:rPr>
        <w:t>, and the idea of temporal jurisdiction.</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It repeated the point: procedural acts and omissions only from ratification</w:t>
      </w:r>
      <w:r w:rsidR="00467495" w:rsidRPr="00E371E1">
        <w:rPr>
          <w:rFonts w:ascii="Times New Roman" w:hAnsi="Times New Roman" w:cs="Times New Roman"/>
          <w:sz w:val="24"/>
          <w:szCs w:val="24"/>
        </w:rPr>
        <w:t>, here 1998</w:t>
      </w:r>
      <w:r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But it modified the second and third points, genuine connection </w:t>
      </w:r>
      <w:r w:rsidR="0020481B" w:rsidRPr="00E371E1">
        <w:rPr>
          <w:rFonts w:ascii="Times New Roman" w:hAnsi="Times New Roman" w:cs="Times New Roman"/>
          <w:sz w:val="24"/>
          <w:szCs w:val="24"/>
        </w:rPr>
        <w:t>and</w:t>
      </w:r>
      <w:r w:rsidRPr="00E371E1">
        <w:rPr>
          <w:rFonts w:ascii="Times New Roman" w:hAnsi="Times New Roman" w:cs="Times New Roman"/>
          <w:sz w:val="24"/>
          <w:szCs w:val="24"/>
        </w:rPr>
        <w:t xml:space="preserve"> underlying values.</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Genuine connection was now </w:t>
      </w:r>
      <w:r w:rsidR="00467495" w:rsidRPr="00E371E1">
        <w:rPr>
          <w:rFonts w:ascii="Times New Roman" w:hAnsi="Times New Roman" w:cs="Times New Roman"/>
          <w:sz w:val="24"/>
          <w:szCs w:val="24"/>
        </w:rPr>
        <w:t>‘a reasonably short period’, not in excess of ten years, with most of the inquiry due to take place, here, after 1998.</w:t>
      </w:r>
      <w:r w:rsidR="009B4EA3">
        <w:rPr>
          <w:rFonts w:ascii="Times New Roman" w:hAnsi="Times New Roman" w:cs="Times New Roman"/>
          <w:sz w:val="24"/>
          <w:szCs w:val="24"/>
        </w:rPr>
        <w:t xml:space="preserve"> </w:t>
      </w:r>
      <w:r w:rsidR="00467495" w:rsidRPr="00E371E1">
        <w:rPr>
          <w:rFonts w:ascii="Times New Roman" w:hAnsi="Times New Roman" w:cs="Times New Roman"/>
          <w:sz w:val="24"/>
          <w:szCs w:val="24"/>
        </w:rPr>
        <w:t xml:space="preserve">And underlying values was now, for war crimes, genocide or crimes against humanity, not before the convention having been agreed </w:t>
      </w:r>
      <w:r w:rsidR="00701CDE" w:rsidRPr="00E371E1">
        <w:rPr>
          <w:rFonts w:ascii="Times New Roman" w:hAnsi="Times New Roman" w:cs="Times New Roman"/>
          <w:sz w:val="24"/>
          <w:szCs w:val="24"/>
        </w:rPr>
        <w:t>on 4 November</w:t>
      </w:r>
      <w:r w:rsidR="00467495" w:rsidRPr="00E371E1">
        <w:rPr>
          <w:rFonts w:ascii="Times New Roman" w:hAnsi="Times New Roman" w:cs="Times New Roman"/>
          <w:sz w:val="24"/>
          <w:szCs w:val="24"/>
        </w:rPr>
        <w:t xml:space="preserve"> 1950.</w:t>
      </w:r>
      <w:r w:rsidR="00701CDE" w:rsidRPr="00E371E1">
        <w:rPr>
          <w:rFonts w:ascii="Times New Roman" w:hAnsi="Times New Roman" w:cs="Times New Roman"/>
          <w:sz w:val="24"/>
          <w:szCs w:val="24"/>
        </w:rPr>
        <w:t xml:space="preserve"> (</w:t>
      </w:r>
      <w:proofErr w:type="gramStart"/>
      <w:r w:rsidR="00701CDE" w:rsidRPr="00E371E1">
        <w:rPr>
          <w:rFonts w:ascii="Times New Roman" w:hAnsi="Times New Roman" w:cs="Times New Roman"/>
          <w:sz w:val="24"/>
          <w:szCs w:val="24"/>
        </w:rPr>
        <w:t>paras</w:t>
      </w:r>
      <w:proofErr w:type="gramEnd"/>
      <w:r w:rsidR="00701CDE" w:rsidRPr="00E371E1">
        <w:rPr>
          <w:rFonts w:ascii="Times New Roman" w:hAnsi="Times New Roman" w:cs="Times New Roman"/>
          <w:sz w:val="24"/>
          <w:szCs w:val="24"/>
        </w:rPr>
        <w:t xml:space="preserve"> 141-51)</w:t>
      </w:r>
      <w:r w:rsidR="009B4EA3">
        <w:rPr>
          <w:rFonts w:ascii="Times New Roman" w:hAnsi="Times New Roman" w:cs="Times New Roman"/>
          <w:sz w:val="24"/>
          <w:szCs w:val="24"/>
        </w:rPr>
        <w:t xml:space="preserve"> </w:t>
      </w:r>
      <w:r w:rsidR="00467495" w:rsidRPr="00E371E1">
        <w:rPr>
          <w:rFonts w:ascii="Times New Roman" w:hAnsi="Times New Roman" w:cs="Times New Roman"/>
          <w:sz w:val="24"/>
          <w:szCs w:val="24"/>
        </w:rPr>
        <w:t xml:space="preserve">The applicants were </w:t>
      </w:r>
      <w:r w:rsidR="00776346" w:rsidRPr="00E371E1">
        <w:rPr>
          <w:rFonts w:ascii="Times New Roman" w:hAnsi="Times New Roman" w:cs="Times New Roman"/>
          <w:sz w:val="24"/>
          <w:szCs w:val="24"/>
        </w:rPr>
        <w:t xml:space="preserve">therefore </w:t>
      </w:r>
      <w:r w:rsidR="00467495" w:rsidRPr="00E371E1">
        <w:rPr>
          <w:rFonts w:ascii="Times New Roman" w:hAnsi="Times New Roman" w:cs="Times New Roman"/>
          <w:sz w:val="24"/>
          <w:szCs w:val="24"/>
        </w:rPr>
        <w:t>left with a gap, 1940 to 1950.</w:t>
      </w:r>
      <w:r w:rsidR="009B4EA3">
        <w:rPr>
          <w:rFonts w:ascii="Times New Roman" w:hAnsi="Times New Roman" w:cs="Times New Roman"/>
          <w:sz w:val="24"/>
          <w:szCs w:val="24"/>
        </w:rPr>
        <w:t xml:space="preserve"> </w:t>
      </w:r>
      <w:r w:rsidR="00467495" w:rsidRPr="00E371E1">
        <w:rPr>
          <w:rFonts w:ascii="Times New Roman" w:hAnsi="Times New Roman" w:cs="Times New Roman"/>
          <w:sz w:val="24"/>
          <w:szCs w:val="24"/>
        </w:rPr>
        <w:t xml:space="preserve">It is extraordinary that Strasbourg wrestled with the law, and yet failed to assist the applicants (save on a minor disclosure point about the discontinuation of criminal proceedings </w:t>
      </w:r>
      <w:r w:rsidR="00701CDE" w:rsidRPr="00E371E1">
        <w:rPr>
          <w:rFonts w:ascii="Times New Roman" w:hAnsi="Times New Roman" w:cs="Times New Roman"/>
          <w:sz w:val="24"/>
          <w:szCs w:val="24"/>
        </w:rPr>
        <w:t xml:space="preserve">on 21 September 2004, </w:t>
      </w:r>
      <w:r w:rsidR="00467495" w:rsidRPr="00E371E1">
        <w:rPr>
          <w:rFonts w:ascii="Times New Roman" w:hAnsi="Times New Roman" w:cs="Times New Roman"/>
          <w:sz w:val="24"/>
          <w:szCs w:val="24"/>
        </w:rPr>
        <w:t xml:space="preserve">on the alleged grounds that the </w:t>
      </w:r>
      <w:r w:rsidR="00776346" w:rsidRPr="00E371E1">
        <w:rPr>
          <w:rFonts w:ascii="Times New Roman" w:hAnsi="Times New Roman" w:cs="Times New Roman"/>
          <w:sz w:val="24"/>
          <w:szCs w:val="24"/>
        </w:rPr>
        <w:t xml:space="preserve">Russian </w:t>
      </w:r>
      <w:r w:rsidR="00467495" w:rsidRPr="00E371E1">
        <w:rPr>
          <w:rFonts w:ascii="Times New Roman" w:hAnsi="Times New Roman" w:cs="Times New Roman"/>
          <w:sz w:val="24"/>
          <w:szCs w:val="24"/>
        </w:rPr>
        <w:t xml:space="preserve">perpetrators </w:t>
      </w:r>
      <w:r w:rsidR="00776346" w:rsidRPr="00E371E1">
        <w:rPr>
          <w:rFonts w:ascii="Times New Roman" w:hAnsi="Times New Roman" w:cs="Times New Roman"/>
          <w:sz w:val="24"/>
          <w:szCs w:val="24"/>
        </w:rPr>
        <w:t xml:space="preserve">in Katyn forest </w:t>
      </w:r>
      <w:r w:rsidR="00467495" w:rsidRPr="00E371E1">
        <w:rPr>
          <w:rFonts w:ascii="Times New Roman" w:hAnsi="Times New Roman" w:cs="Times New Roman"/>
          <w:sz w:val="24"/>
          <w:szCs w:val="24"/>
        </w:rPr>
        <w:t>were all dead).</w:t>
      </w:r>
      <w:r w:rsidR="00701CDE" w:rsidRPr="00E371E1">
        <w:rPr>
          <w:rFonts w:ascii="Times New Roman" w:hAnsi="Times New Roman" w:cs="Times New Roman"/>
          <w:sz w:val="24"/>
          <w:szCs w:val="24"/>
        </w:rPr>
        <w:t xml:space="preserve"> (</w:t>
      </w:r>
      <w:proofErr w:type="gramStart"/>
      <w:r w:rsidR="00701CDE" w:rsidRPr="00E371E1">
        <w:rPr>
          <w:rFonts w:ascii="Times New Roman" w:hAnsi="Times New Roman" w:cs="Times New Roman"/>
          <w:sz w:val="24"/>
          <w:szCs w:val="24"/>
        </w:rPr>
        <w:t>paras</w:t>
      </w:r>
      <w:proofErr w:type="gramEnd"/>
      <w:r w:rsidR="00701CDE" w:rsidRPr="00E371E1">
        <w:rPr>
          <w:rFonts w:ascii="Times New Roman" w:hAnsi="Times New Roman" w:cs="Times New Roman"/>
          <w:sz w:val="24"/>
          <w:szCs w:val="24"/>
        </w:rPr>
        <w:t xml:space="preserve"> 210-16).</w:t>
      </w:r>
    </w:p>
    <w:p w14:paraId="140C6CD4" w14:textId="77777777" w:rsidR="00467495" w:rsidRPr="00E371E1" w:rsidRDefault="00467495" w:rsidP="00E371E1">
      <w:pPr>
        <w:pStyle w:val="NoSpacing"/>
        <w:jc w:val="both"/>
        <w:rPr>
          <w:rFonts w:ascii="Times New Roman" w:hAnsi="Times New Roman" w:cs="Times New Roman"/>
          <w:sz w:val="24"/>
          <w:szCs w:val="24"/>
        </w:rPr>
      </w:pPr>
    </w:p>
    <w:p w14:paraId="640AF957" w14:textId="17362377" w:rsidR="00467495" w:rsidRPr="00E371E1" w:rsidRDefault="00467495" w:rsidP="00E371E1">
      <w:pPr>
        <w:pStyle w:val="NoSpacing"/>
        <w:jc w:val="both"/>
        <w:rPr>
          <w:rFonts w:ascii="Times New Roman" w:hAnsi="Times New Roman" w:cs="Times New Roman"/>
          <w:b/>
          <w:bCs/>
          <w:sz w:val="24"/>
          <w:szCs w:val="24"/>
        </w:rPr>
      </w:pPr>
      <w:r w:rsidRPr="00E371E1">
        <w:rPr>
          <w:rFonts w:ascii="Times New Roman" w:hAnsi="Times New Roman" w:cs="Times New Roman"/>
          <w:b/>
          <w:bCs/>
          <w:sz w:val="24"/>
          <w:szCs w:val="24"/>
        </w:rPr>
        <w:t xml:space="preserve">The </w:t>
      </w:r>
      <w:r w:rsidR="001D7E1C">
        <w:rPr>
          <w:rFonts w:ascii="Times New Roman" w:hAnsi="Times New Roman" w:cs="Times New Roman"/>
          <w:b/>
          <w:bCs/>
          <w:sz w:val="24"/>
          <w:szCs w:val="24"/>
        </w:rPr>
        <w:t>l</w:t>
      </w:r>
      <w:r w:rsidRPr="00E371E1">
        <w:rPr>
          <w:rFonts w:ascii="Times New Roman" w:hAnsi="Times New Roman" w:cs="Times New Roman"/>
          <w:b/>
          <w:bCs/>
          <w:sz w:val="24"/>
          <w:szCs w:val="24"/>
        </w:rPr>
        <w:t>aw in the United Kingdom</w:t>
      </w:r>
    </w:p>
    <w:p w14:paraId="2EF6C9ED" w14:textId="4CAD5C7E" w:rsidR="0049202A" w:rsidRPr="00E371E1" w:rsidRDefault="0049202A" w:rsidP="00E371E1">
      <w:pPr>
        <w:pStyle w:val="NoSpacing"/>
        <w:jc w:val="both"/>
        <w:rPr>
          <w:rFonts w:ascii="Times New Roman" w:hAnsi="Times New Roman" w:cs="Times New Roman"/>
          <w:b/>
          <w:bCs/>
          <w:sz w:val="24"/>
          <w:szCs w:val="24"/>
        </w:rPr>
      </w:pPr>
    </w:p>
    <w:p w14:paraId="31C22DFC" w14:textId="3AB11589" w:rsidR="0049202A" w:rsidRPr="00E371E1" w:rsidRDefault="0049202A"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The Jordan line of cases has been considered, since May 2001, in the house of lords/supreme court.</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The UK view, while it considers article 2 procedural, is that it does not apply to deaths in </w:t>
      </w:r>
      <w:r w:rsidR="00BC71EF" w:rsidRPr="00BC71EF">
        <w:rPr>
          <w:rFonts w:ascii="Times New Roman" w:hAnsi="Times New Roman" w:cs="Times New Roman"/>
          <w:i/>
          <w:sz w:val="24"/>
          <w:szCs w:val="24"/>
        </w:rPr>
        <w:t>inter alia</w:t>
      </w:r>
      <w:r w:rsidR="00BC71EF">
        <w:rPr>
          <w:rFonts w:ascii="Times New Roman" w:hAnsi="Times New Roman" w:cs="Times New Roman"/>
          <w:sz w:val="24"/>
          <w:szCs w:val="24"/>
        </w:rPr>
        <w:t xml:space="preserve"> </w:t>
      </w:r>
      <w:r w:rsidRPr="00E371E1">
        <w:rPr>
          <w:rFonts w:ascii="Times New Roman" w:hAnsi="Times New Roman" w:cs="Times New Roman"/>
          <w:sz w:val="24"/>
          <w:szCs w:val="24"/>
        </w:rPr>
        <w:t>NI before 2 October 2000</w:t>
      </w:r>
      <w:r w:rsidR="00C42A0C" w:rsidRPr="00E371E1">
        <w:rPr>
          <w:rFonts w:ascii="Times New Roman" w:hAnsi="Times New Roman" w:cs="Times New Roman"/>
          <w:sz w:val="24"/>
          <w:szCs w:val="24"/>
        </w:rPr>
        <w:t xml:space="preserve"> (when the Human Rights Act 1998 came into force)</w:t>
      </w:r>
      <w:r w:rsidRPr="00E371E1">
        <w:rPr>
          <w:rFonts w:ascii="Times New Roman" w:hAnsi="Times New Roman" w:cs="Times New Roman"/>
          <w:sz w:val="24"/>
          <w:szCs w:val="24"/>
        </w:rPr>
        <w:t xml:space="preserve">. </w:t>
      </w:r>
    </w:p>
    <w:p w14:paraId="400848B6" w14:textId="4686389A" w:rsidR="00C42A0C" w:rsidRPr="00E371E1" w:rsidRDefault="00C42A0C" w:rsidP="00E371E1">
      <w:pPr>
        <w:pStyle w:val="NoSpacing"/>
        <w:jc w:val="both"/>
        <w:rPr>
          <w:rFonts w:ascii="Times New Roman" w:hAnsi="Times New Roman" w:cs="Times New Roman"/>
          <w:sz w:val="24"/>
          <w:szCs w:val="24"/>
        </w:rPr>
      </w:pPr>
    </w:p>
    <w:p w14:paraId="263636A7" w14:textId="5B353A1D" w:rsidR="00C42A0C" w:rsidRPr="00E371E1" w:rsidRDefault="00C42A0C"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The authority for this, in the common law, is: </w:t>
      </w:r>
      <w:r w:rsidRPr="00E371E1">
        <w:rPr>
          <w:rFonts w:ascii="Times New Roman" w:hAnsi="Times New Roman" w:cs="Times New Roman"/>
          <w:b/>
          <w:bCs/>
          <w:sz w:val="24"/>
          <w:szCs w:val="24"/>
        </w:rPr>
        <w:t xml:space="preserve">McKerr’s Application for Judicial Review, Re [2004] UKHL </w:t>
      </w:r>
      <w:r w:rsidRPr="00E371E1">
        <w:rPr>
          <w:rFonts w:ascii="Times New Roman" w:hAnsi="Times New Roman" w:cs="Times New Roman"/>
          <w:sz w:val="24"/>
          <w:szCs w:val="24"/>
        </w:rPr>
        <w:t xml:space="preserve">(decided 11 March </w:t>
      </w:r>
      <w:r w:rsidR="0020481B" w:rsidRPr="00E371E1">
        <w:rPr>
          <w:rFonts w:ascii="Times New Roman" w:hAnsi="Times New Roman" w:cs="Times New Roman"/>
          <w:sz w:val="24"/>
          <w:szCs w:val="24"/>
        </w:rPr>
        <w:t>200</w:t>
      </w:r>
      <w:r w:rsidRPr="00E371E1">
        <w:rPr>
          <w:rFonts w:ascii="Times New Roman" w:hAnsi="Times New Roman" w:cs="Times New Roman"/>
          <w:sz w:val="24"/>
          <w:szCs w:val="24"/>
        </w:rPr>
        <w:t>4).</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Two previous cases were held to </w:t>
      </w:r>
      <w:r w:rsidR="0020481B" w:rsidRPr="00E371E1">
        <w:rPr>
          <w:rFonts w:ascii="Times New Roman" w:hAnsi="Times New Roman" w:cs="Times New Roman"/>
          <w:sz w:val="24"/>
          <w:szCs w:val="24"/>
        </w:rPr>
        <w:t>have been</w:t>
      </w:r>
      <w:r w:rsidR="009844E6" w:rsidRPr="00E371E1">
        <w:rPr>
          <w:rFonts w:ascii="Times New Roman" w:hAnsi="Times New Roman" w:cs="Times New Roman"/>
          <w:sz w:val="24"/>
          <w:szCs w:val="24"/>
        </w:rPr>
        <w:t xml:space="preserve"> decided</w:t>
      </w:r>
      <w:r w:rsidRPr="00E371E1">
        <w:rPr>
          <w:rFonts w:ascii="Times New Roman" w:hAnsi="Times New Roman" w:cs="Times New Roman"/>
          <w:sz w:val="24"/>
          <w:szCs w:val="24"/>
        </w:rPr>
        <w:t xml:space="preserve"> </w:t>
      </w:r>
      <w:r w:rsidRPr="00E371E1">
        <w:rPr>
          <w:rFonts w:ascii="Times New Roman" w:hAnsi="Times New Roman" w:cs="Times New Roman"/>
          <w:i/>
          <w:iCs/>
          <w:sz w:val="24"/>
          <w:szCs w:val="24"/>
        </w:rPr>
        <w:t xml:space="preserve">per incuriam </w:t>
      </w:r>
      <w:r w:rsidRPr="00E371E1">
        <w:rPr>
          <w:rFonts w:ascii="Times New Roman" w:hAnsi="Times New Roman" w:cs="Times New Roman"/>
          <w:sz w:val="24"/>
          <w:szCs w:val="24"/>
        </w:rPr>
        <w:t>retrospectivity (para 23).</w:t>
      </w:r>
    </w:p>
    <w:p w14:paraId="0C35C925" w14:textId="77777777" w:rsidR="00C42A0C" w:rsidRPr="00E371E1" w:rsidRDefault="00C42A0C" w:rsidP="00E371E1">
      <w:pPr>
        <w:pStyle w:val="NoSpacing"/>
        <w:jc w:val="both"/>
        <w:rPr>
          <w:rFonts w:ascii="Times New Roman" w:hAnsi="Times New Roman" w:cs="Times New Roman"/>
          <w:sz w:val="24"/>
          <w:szCs w:val="24"/>
        </w:rPr>
      </w:pPr>
    </w:p>
    <w:p w14:paraId="1C41325D" w14:textId="5B5DB222" w:rsidR="00C42A0C" w:rsidRPr="00E371E1" w:rsidRDefault="00C42A0C"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The supreme court has never overruled this case, </w:t>
      </w:r>
      <w:r w:rsidR="009844E6" w:rsidRPr="00E371E1">
        <w:rPr>
          <w:rFonts w:ascii="Times New Roman" w:hAnsi="Times New Roman" w:cs="Times New Roman"/>
          <w:sz w:val="24"/>
          <w:szCs w:val="24"/>
        </w:rPr>
        <w:t>which it could do: under the practice direction, judicial precedent [1966] 3 All ER 77, the house of lords decided it could ‘depart from a previous decision when it appears right to do so</w:t>
      </w:r>
      <w:r w:rsidR="004E67DD" w:rsidRPr="00E371E1">
        <w:rPr>
          <w:rFonts w:ascii="Times New Roman" w:hAnsi="Times New Roman" w:cs="Times New Roman"/>
          <w:sz w:val="24"/>
          <w:szCs w:val="24"/>
        </w:rPr>
        <w:t>’</w:t>
      </w:r>
      <w:r w:rsidR="009844E6" w:rsidRPr="00E371E1">
        <w:rPr>
          <w:rFonts w:ascii="Times New Roman" w:hAnsi="Times New Roman" w:cs="Times New Roman"/>
          <w:sz w:val="24"/>
          <w:szCs w:val="24"/>
        </w:rPr>
        <w:t xml:space="preserve">; under practice direction no. 1, </w:t>
      </w:r>
      <w:r w:rsidR="00776346" w:rsidRPr="00E371E1">
        <w:rPr>
          <w:rFonts w:ascii="Times New Roman" w:hAnsi="Times New Roman" w:cs="Times New Roman"/>
          <w:sz w:val="24"/>
          <w:szCs w:val="24"/>
        </w:rPr>
        <w:t xml:space="preserve">it is recognized that </w:t>
      </w:r>
      <w:r w:rsidR="009844E6" w:rsidRPr="00E371E1">
        <w:rPr>
          <w:rFonts w:ascii="Times New Roman" w:hAnsi="Times New Roman" w:cs="Times New Roman"/>
          <w:sz w:val="24"/>
          <w:szCs w:val="24"/>
        </w:rPr>
        <w:t>the supreme court has inherited the jurisdiction of the house of lords</w:t>
      </w:r>
      <w:r w:rsidR="0020481B" w:rsidRPr="00E371E1">
        <w:rPr>
          <w:rFonts w:ascii="Times New Roman" w:hAnsi="Times New Roman" w:cs="Times New Roman"/>
          <w:sz w:val="24"/>
          <w:szCs w:val="24"/>
        </w:rPr>
        <w:t xml:space="preserve"> (para 1.1.1).</w:t>
      </w:r>
      <w:r w:rsidR="00027D61" w:rsidRPr="00E371E1">
        <w:rPr>
          <w:rStyle w:val="FootnoteReference"/>
          <w:rFonts w:ascii="Times New Roman" w:hAnsi="Times New Roman" w:cs="Times New Roman"/>
          <w:sz w:val="24"/>
          <w:szCs w:val="24"/>
        </w:rPr>
        <w:footnoteReference w:id="14"/>
      </w:r>
    </w:p>
    <w:p w14:paraId="37C0B3E5" w14:textId="77777777" w:rsidR="009844E6" w:rsidRPr="00E371E1" w:rsidRDefault="009844E6" w:rsidP="00E371E1">
      <w:pPr>
        <w:pStyle w:val="NoSpacing"/>
        <w:jc w:val="both"/>
        <w:rPr>
          <w:rFonts w:ascii="Times New Roman" w:hAnsi="Times New Roman" w:cs="Times New Roman"/>
          <w:sz w:val="24"/>
          <w:szCs w:val="24"/>
        </w:rPr>
      </w:pPr>
    </w:p>
    <w:p w14:paraId="0216978D" w14:textId="23C1C81F" w:rsidR="009844E6" w:rsidRPr="00E371E1" w:rsidRDefault="009844E6" w:rsidP="0006325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In </w:t>
      </w:r>
      <w:r w:rsidRPr="00E371E1">
        <w:rPr>
          <w:rFonts w:ascii="Times New Roman" w:hAnsi="Times New Roman" w:cs="Times New Roman"/>
          <w:b/>
          <w:bCs/>
          <w:sz w:val="24"/>
          <w:szCs w:val="24"/>
        </w:rPr>
        <w:t>McCaughey’s Application for Judicial Review, Re [2011] UKSC 20</w:t>
      </w:r>
      <w:r w:rsidRPr="00E371E1">
        <w:rPr>
          <w:rFonts w:ascii="Times New Roman" w:hAnsi="Times New Roman" w:cs="Times New Roman"/>
          <w:sz w:val="24"/>
          <w:szCs w:val="24"/>
        </w:rPr>
        <w:t xml:space="preserve">, </w:t>
      </w:r>
      <w:r w:rsidR="00027D61" w:rsidRPr="00E371E1">
        <w:rPr>
          <w:rFonts w:ascii="Times New Roman" w:hAnsi="Times New Roman" w:cs="Times New Roman"/>
          <w:sz w:val="24"/>
          <w:szCs w:val="24"/>
        </w:rPr>
        <w:t xml:space="preserve">the </w:t>
      </w:r>
      <w:proofErr w:type="gramStart"/>
      <w:r w:rsidR="00027D61" w:rsidRPr="00E371E1">
        <w:rPr>
          <w:rFonts w:ascii="Times New Roman" w:hAnsi="Times New Roman" w:cs="Times New Roman"/>
          <w:sz w:val="24"/>
          <w:szCs w:val="24"/>
        </w:rPr>
        <w:t>supreme court</w:t>
      </w:r>
      <w:proofErr w:type="gramEnd"/>
      <w:r w:rsidR="00027D61" w:rsidRPr="00E371E1">
        <w:rPr>
          <w:rFonts w:ascii="Times New Roman" w:hAnsi="Times New Roman" w:cs="Times New Roman"/>
          <w:sz w:val="24"/>
          <w:szCs w:val="24"/>
        </w:rPr>
        <w:t xml:space="preserve"> declared – contrary to the coroner relying upon McKerr – that this inquest had to comply with article 2.</w:t>
      </w:r>
      <w:r w:rsidR="009B4EA3">
        <w:rPr>
          <w:rFonts w:ascii="Times New Roman" w:hAnsi="Times New Roman" w:cs="Times New Roman"/>
          <w:sz w:val="24"/>
          <w:szCs w:val="24"/>
        </w:rPr>
        <w:t xml:space="preserve"> </w:t>
      </w:r>
      <w:r w:rsidR="00027D61" w:rsidRPr="00E371E1">
        <w:rPr>
          <w:rFonts w:ascii="Times New Roman" w:hAnsi="Times New Roman" w:cs="Times New Roman"/>
          <w:sz w:val="24"/>
          <w:szCs w:val="24"/>
        </w:rPr>
        <w:t xml:space="preserve">Lord Rodger </w:t>
      </w:r>
      <w:r w:rsidR="00932BB8">
        <w:rPr>
          <w:rFonts w:ascii="Times New Roman" w:hAnsi="Times New Roman" w:cs="Times New Roman"/>
          <w:sz w:val="24"/>
          <w:szCs w:val="24"/>
        </w:rPr>
        <w:t xml:space="preserve">(dissenting) </w:t>
      </w:r>
      <w:r w:rsidR="00027D61" w:rsidRPr="00E371E1">
        <w:rPr>
          <w:rFonts w:ascii="Times New Roman" w:hAnsi="Times New Roman" w:cs="Times New Roman"/>
          <w:sz w:val="24"/>
          <w:szCs w:val="24"/>
        </w:rPr>
        <w:t>argued McKerr should be followed.</w:t>
      </w:r>
      <w:r w:rsidR="000E75C6" w:rsidRPr="00E371E1">
        <w:rPr>
          <w:rStyle w:val="FootnoteReference"/>
          <w:rFonts w:ascii="Times New Roman" w:hAnsi="Times New Roman" w:cs="Times New Roman"/>
          <w:sz w:val="24"/>
          <w:szCs w:val="24"/>
        </w:rPr>
        <w:footnoteReference w:id="15"/>
      </w:r>
      <w:r w:rsidR="009B4EA3">
        <w:rPr>
          <w:rFonts w:ascii="Times New Roman" w:hAnsi="Times New Roman" w:cs="Times New Roman"/>
          <w:sz w:val="24"/>
          <w:szCs w:val="24"/>
        </w:rPr>
        <w:t xml:space="preserve"> </w:t>
      </w:r>
      <w:r w:rsidR="00027D61" w:rsidRPr="00E371E1">
        <w:rPr>
          <w:rFonts w:ascii="Times New Roman" w:hAnsi="Times New Roman" w:cs="Times New Roman"/>
          <w:sz w:val="24"/>
          <w:szCs w:val="24"/>
        </w:rPr>
        <w:t xml:space="preserve">The court decided to follow </w:t>
      </w:r>
      <w:r w:rsidR="004629FA">
        <w:rPr>
          <w:rFonts w:ascii="Times New Roman" w:hAnsi="Times New Roman" w:cs="Times New Roman"/>
          <w:sz w:val="24"/>
          <w:szCs w:val="24"/>
        </w:rPr>
        <w:t xml:space="preserve">instead </w:t>
      </w:r>
      <w:r w:rsidR="00027D61" w:rsidRPr="00E371E1">
        <w:rPr>
          <w:rFonts w:ascii="Times New Roman" w:hAnsi="Times New Roman" w:cs="Times New Roman"/>
          <w:sz w:val="24"/>
          <w:szCs w:val="24"/>
        </w:rPr>
        <w:t>Silih’s case in Strasbourg.</w:t>
      </w:r>
      <w:r w:rsidR="009B4EA3">
        <w:rPr>
          <w:rFonts w:ascii="Times New Roman" w:hAnsi="Times New Roman" w:cs="Times New Roman"/>
          <w:sz w:val="24"/>
          <w:szCs w:val="24"/>
        </w:rPr>
        <w:t xml:space="preserve"> </w:t>
      </w:r>
      <w:r w:rsidR="000E75C6" w:rsidRPr="00E371E1">
        <w:rPr>
          <w:rFonts w:ascii="Times New Roman" w:hAnsi="Times New Roman" w:cs="Times New Roman"/>
          <w:sz w:val="24"/>
          <w:szCs w:val="24"/>
        </w:rPr>
        <w:t xml:space="preserve">It is not clear why (references were made to the </w:t>
      </w:r>
      <w:r w:rsidR="000E75C6" w:rsidRPr="00E371E1">
        <w:rPr>
          <w:rFonts w:ascii="Times New Roman" w:hAnsi="Times New Roman" w:cs="Times New Roman"/>
          <w:sz w:val="24"/>
          <w:szCs w:val="24"/>
        </w:rPr>
        <w:lastRenderedPageBreak/>
        <w:t>freestanding obligation and temporal jurisdiction).</w:t>
      </w:r>
      <w:r w:rsidR="00E62062" w:rsidRPr="00E371E1">
        <w:rPr>
          <w:rStyle w:val="FootnoteReference"/>
          <w:rFonts w:ascii="Times New Roman" w:hAnsi="Times New Roman" w:cs="Times New Roman"/>
          <w:sz w:val="24"/>
          <w:szCs w:val="24"/>
        </w:rPr>
        <w:footnoteReference w:id="16"/>
      </w:r>
      <w:r w:rsidR="009B4EA3">
        <w:rPr>
          <w:rFonts w:ascii="Times New Roman" w:hAnsi="Times New Roman" w:cs="Times New Roman"/>
          <w:sz w:val="24"/>
          <w:szCs w:val="24"/>
        </w:rPr>
        <w:t xml:space="preserve"> </w:t>
      </w:r>
      <w:r w:rsidR="000E75C6" w:rsidRPr="00E371E1">
        <w:rPr>
          <w:rFonts w:ascii="Times New Roman" w:hAnsi="Times New Roman" w:cs="Times New Roman"/>
          <w:sz w:val="24"/>
          <w:szCs w:val="24"/>
        </w:rPr>
        <w:t xml:space="preserve">The </w:t>
      </w:r>
      <w:r w:rsidR="000E75C6" w:rsidRPr="004629FA">
        <w:rPr>
          <w:rFonts w:ascii="Times New Roman" w:hAnsi="Times New Roman" w:cs="Times New Roman"/>
          <w:iCs/>
          <w:sz w:val="24"/>
          <w:szCs w:val="24"/>
        </w:rPr>
        <w:t xml:space="preserve">ratio </w:t>
      </w:r>
      <w:r w:rsidR="004629FA" w:rsidRPr="004629FA">
        <w:rPr>
          <w:rFonts w:ascii="Times New Roman" w:hAnsi="Times New Roman" w:cs="Times New Roman"/>
          <w:iCs/>
          <w:sz w:val="24"/>
          <w:szCs w:val="24"/>
        </w:rPr>
        <w:t xml:space="preserve">of McCaughey </w:t>
      </w:r>
      <w:r w:rsidR="000E75C6" w:rsidRPr="004629FA">
        <w:rPr>
          <w:rFonts w:ascii="Times New Roman" w:hAnsi="Times New Roman" w:cs="Times New Roman"/>
          <w:sz w:val="24"/>
          <w:szCs w:val="24"/>
        </w:rPr>
        <w:t>seems</w:t>
      </w:r>
      <w:r w:rsidR="000E75C6" w:rsidRPr="00E371E1">
        <w:rPr>
          <w:rFonts w:ascii="Times New Roman" w:hAnsi="Times New Roman" w:cs="Times New Roman"/>
          <w:sz w:val="24"/>
          <w:szCs w:val="24"/>
        </w:rPr>
        <w:t xml:space="preserve"> to be that, where the UK decided to hold an inquest, then it was bound by article 2.</w:t>
      </w:r>
      <w:r w:rsidR="00E30AB2" w:rsidRPr="00E371E1">
        <w:rPr>
          <w:rStyle w:val="FootnoteReference"/>
          <w:rFonts w:ascii="Times New Roman" w:hAnsi="Times New Roman" w:cs="Times New Roman"/>
          <w:sz w:val="24"/>
          <w:szCs w:val="24"/>
        </w:rPr>
        <w:footnoteReference w:id="17"/>
      </w:r>
      <w:r w:rsidR="009B4EA3">
        <w:rPr>
          <w:rFonts w:ascii="Times New Roman" w:hAnsi="Times New Roman" w:cs="Times New Roman"/>
          <w:sz w:val="24"/>
          <w:szCs w:val="24"/>
        </w:rPr>
        <w:t xml:space="preserve"> </w:t>
      </w:r>
      <w:r w:rsidR="004629FA" w:rsidRPr="004629FA">
        <w:rPr>
          <w:rFonts w:ascii="Times New Roman" w:hAnsi="Times New Roman" w:cs="Times New Roman"/>
          <w:sz w:val="24"/>
          <w:szCs w:val="24"/>
        </w:rPr>
        <w:t xml:space="preserve">But that does not explain why it refused to recognize article 2 through the Human Rights Act 1998, but did so in terms of the UK’s obligations through the council of Europe.  Surely rights had been brought home by statute.  The supreme </w:t>
      </w:r>
      <w:r w:rsidR="000E75C6" w:rsidRPr="00E371E1">
        <w:rPr>
          <w:rFonts w:ascii="Times New Roman" w:hAnsi="Times New Roman" w:cs="Times New Roman"/>
          <w:sz w:val="24"/>
          <w:szCs w:val="24"/>
        </w:rPr>
        <w:t>court did not overrule McKerr</w:t>
      </w:r>
      <w:r w:rsidR="008B44E1" w:rsidRPr="00E371E1">
        <w:rPr>
          <w:rFonts w:ascii="Times New Roman" w:hAnsi="Times New Roman" w:cs="Times New Roman"/>
          <w:sz w:val="24"/>
          <w:szCs w:val="24"/>
        </w:rPr>
        <w:t>, despite being invited to do so</w:t>
      </w:r>
      <w:r w:rsidR="00E30AB2" w:rsidRPr="00E371E1">
        <w:rPr>
          <w:rFonts w:ascii="Times New Roman" w:hAnsi="Times New Roman" w:cs="Times New Roman"/>
          <w:sz w:val="24"/>
          <w:szCs w:val="24"/>
        </w:rPr>
        <w:t xml:space="preserve"> (paras 24-35</w:t>
      </w:r>
      <w:r w:rsidR="00E62062" w:rsidRPr="00E371E1">
        <w:rPr>
          <w:rFonts w:ascii="Times New Roman" w:hAnsi="Times New Roman" w:cs="Times New Roman"/>
          <w:sz w:val="24"/>
          <w:szCs w:val="24"/>
        </w:rPr>
        <w:t xml:space="preserve"> &amp; 56-63</w:t>
      </w:r>
      <w:r w:rsidR="00E30AB2" w:rsidRPr="00E371E1">
        <w:rPr>
          <w:rFonts w:ascii="Times New Roman" w:hAnsi="Times New Roman" w:cs="Times New Roman"/>
          <w:sz w:val="24"/>
          <w:szCs w:val="24"/>
        </w:rPr>
        <w:t>)</w:t>
      </w:r>
      <w:r w:rsidR="000E75C6" w:rsidRPr="00E371E1">
        <w:rPr>
          <w:rFonts w:ascii="Times New Roman" w:hAnsi="Times New Roman" w:cs="Times New Roman"/>
          <w:sz w:val="24"/>
          <w:szCs w:val="24"/>
        </w:rPr>
        <w:t>.</w:t>
      </w:r>
      <w:r w:rsidR="009B4EA3">
        <w:rPr>
          <w:rFonts w:ascii="Times New Roman" w:hAnsi="Times New Roman" w:cs="Times New Roman"/>
          <w:sz w:val="24"/>
          <w:szCs w:val="24"/>
        </w:rPr>
        <w:t xml:space="preserve"> </w:t>
      </w:r>
      <w:r w:rsidR="008B44E1" w:rsidRPr="00E371E1">
        <w:rPr>
          <w:rFonts w:ascii="Times New Roman" w:hAnsi="Times New Roman" w:cs="Times New Roman"/>
          <w:sz w:val="24"/>
          <w:szCs w:val="24"/>
        </w:rPr>
        <w:t>The case remains a mystery, since international obligations are one thing, and the Human Rights Act 1998 something different.</w:t>
      </w:r>
    </w:p>
    <w:p w14:paraId="72175DA6" w14:textId="77777777" w:rsidR="00F15260" w:rsidRPr="00E371E1" w:rsidRDefault="00F15260" w:rsidP="00E371E1">
      <w:pPr>
        <w:pStyle w:val="NoSpacing"/>
        <w:jc w:val="both"/>
        <w:rPr>
          <w:rFonts w:ascii="Times New Roman" w:hAnsi="Times New Roman" w:cs="Times New Roman"/>
          <w:sz w:val="24"/>
          <w:szCs w:val="24"/>
        </w:rPr>
      </w:pPr>
    </w:p>
    <w:p w14:paraId="4B1EA7C7" w14:textId="4ABA216B" w:rsidR="00F15260" w:rsidRPr="00E371E1" w:rsidRDefault="00F15260"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In </w:t>
      </w:r>
      <w:r w:rsidRPr="00E371E1">
        <w:rPr>
          <w:rFonts w:ascii="Times New Roman" w:hAnsi="Times New Roman" w:cs="Times New Roman"/>
          <w:b/>
          <w:bCs/>
          <w:sz w:val="24"/>
          <w:szCs w:val="24"/>
        </w:rPr>
        <w:t>R (on the application of Keyu) v SoS for Foreign and Commonwealth Affairs [2015] UKSC 69</w:t>
      </w:r>
      <w:r w:rsidRPr="00E371E1">
        <w:rPr>
          <w:rFonts w:ascii="Times New Roman" w:hAnsi="Times New Roman" w:cs="Times New Roman"/>
          <w:sz w:val="24"/>
          <w:szCs w:val="24"/>
        </w:rPr>
        <w:t xml:space="preserve">, concerning killings in Malaya in 1948, and the refusal of a </w:t>
      </w:r>
      <w:r w:rsidR="00DC7F5D" w:rsidRPr="00E371E1">
        <w:rPr>
          <w:rFonts w:ascii="Times New Roman" w:hAnsi="Times New Roman" w:cs="Times New Roman"/>
          <w:sz w:val="24"/>
          <w:szCs w:val="24"/>
        </w:rPr>
        <w:t xml:space="preserve">contemporary </w:t>
      </w:r>
      <w:r w:rsidRPr="00E371E1">
        <w:rPr>
          <w:rFonts w:ascii="Times New Roman" w:hAnsi="Times New Roman" w:cs="Times New Roman"/>
          <w:sz w:val="24"/>
          <w:szCs w:val="24"/>
        </w:rPr>
        <w:t>statutory inquiry</w:t>
      </w:r>
      <w:r w:rsidR="00DC7F5D" w:rsidRPr="00E371E1">
        <w:rPr>
          <w:rFonts w:ascii="Times New Roman" w:hAnsi="Times New Roman" w:cs="Times New Roman"/>
          <w:sz w:val="24"/>
          <w:szCs w:val="24"/>
        </w:rPr>
        <w:t xml:space="preserve"> in the UK</w:t>
      </w:r>
      <w:r w:rsidRPr="00E371E1">
        <w:rPr>
          <w:rFonts w:ascii="Times New Roman" w:hAnsi="Times New Roman" w:cs="Times New Roman"/>
          <w:sz w:val="24"/>
          <w:szCs w:val="24"/>
        </w:rPr>
        <w:t>, Lord Neuberger applied Janowiec v Russia</w:t>
      </w:r>
      <w:r w:rsidR="001643D5" w:rsidRPr="00E371E1">
        <w:rPr>
          <w:rFonts w:ascii="Times New Roman" w:hAnsi="Times New Roman" w:cs="Times New Roman"/>
          <w:sz w:val="24"/>
          <w:szCs w:val="24"/>
        </w:rPr>
        <w:t xml:space="preserve"> (and a critical date of 1966)</w:t>
      </w:r>
      <w:r w:rsidRPr="00E371E1">
        <w:rPr>
          <w:rFonts w:ascii="Times New Roman" w:hAnsi="Times New Roman" w:cs="Times New Roman"/>
          <w:sz w:val="24"/>
          <w:szCs w:val="24"/>
        </w:rPr>
        <w:t>, to no particular effect regarding the applicants.</w:t>
      </w:r>
      <w:r w:rsidR="009B4EA3">
        <w:rPr>
          <w:rFonts w:ascii="Times New Roman" w:hAnsi="Times New Roman" w:cs="Times New Roman"/>
          <w:sz w:val="24"/>
          <w:szCs w:val="24"/>
        </w:rPr>
        <w:t xml:space="preserve"> </w:t>
      </w:r>
      <w:r w:rsidR="00BC1D72">
        <w:rPr>
          <w:rFonts w:ascii="Times New Roman" w:hAnsi="Times New Roman" w:cs="Times New Roman"/>
          <w:sz w:val="24"/>
          <w:szCs w:val="24"/>
        </w:rPr>
        <w:t>C</w:t>
      </w:r>
      <w:r w:rsidRPr="00E371E1">
        <w:rPr>
          <w:rFonts w:ascii="Times New Roman" w:hAnsi="Times New Roman" w:cs="Times New Roman"/>
          <w:sz w:val="24"/>
          <w:szCs w:val="24"/>
        </w:rPr>
        <w:t xml:space="preserve">onsidering McKerr after McCaughey, </w:t>
      </w:r>
      <w:r w:rsidR="00BC1D72">
        <w:rPr>
          <w:rFonts w:ascii="Times New Roman" w:hAnsi="Times New Roman" w:cs="Times New Roman"/>
          <w:sz w:val="24"/>
          <w:szCs w:val="24"/>
        </w:rPr>
        <w:t xml:space="preserve">he </w:t>
      </w:r>
      <w:r w:rsidRPr="00E371E1">
        <w:rPr>
          <w:rFonts w:ascii="Times New Roman" w:hAnsi="Times New Roman" w:cs="Times New Roman"/>
          <w:sz w:val="24"/>
          <w:szCs w:val="24"/>
        </w:rPr>
        <w:t>decided to leave open whether the UK had to follow Strasbourg (para</w:t>
      </w:r>
      <w:r w:rsidR="00E8042F" w:rsidRPr="00E371E1">
        <w:rPr>
          <w:rFonts w:ascii="Times New Roman" w:hAnsi="Times New Roman" w:cs="Times New Roman"/>
          <w:sz w:val="24"/>
          <w:szCs w:val="24"/>
        </w:rPr>
        <w:t>s 92-</w:t>
      </w:r>
      <w:r w:rsidRPr="00E371E1">
        <w:rPr>
          <w:rFonts w:ascii="Times New Roman" w:hAnsi="Times New Roman" w:cs="Times New Roman"/>
          <w:sz w:val="24"/>
          <w:szCs w:val="24"/>
        </w:rPr>
        <w:t>8).</w:t>
      </w:r>
      <w:r w:rsidR="009B4EA3">
        <w:rPr>
          <w:rFonts w:ascii="Times New Roman" w:hAnsi="Times New Roman" w:cs="Times New Roman"/>
          <w:sz w:val="24"/>
          <w:szCs w:val="24"/>
        </w:rPr>
        <w:t xml:space="preserve"> </w:t>
      </w:r>
      <w:proofErr w:type="gramStart"/>
      <w:r w:rsidRPr="00E371E1">
        <w:rPr>
          <w:rFonts w:ascii="Times New Roman" w:hAnsi="Times New Roman" w:cs="Times New Roman"/>
          <w:sz w:val="24"/>
          <w:szCs w:val="24"/>
        </w:rPr>
        <w:t xml:space="preserve">Lord Kerr, who relied upon Silih detachability, left open whether McKerr should be overruled (paras </w:t>
      </w:r>
      <w:r w:rsidR="001643D5" w:rsidRPr="00E371E1">
        <w:rPr>
          <w:rFonts w:ascii="Times New Roman" w:hAnsi="Times New Roman" w:cs="Times New Roman"/>
          <w:sz w:val="24"/>
          <w:szCs w:val="24"/>
        </w:rPr>
        <w:t>24</w:t>
      </w:r>
      <w:r w:rsidR="00E8042F" w:rsidRPr="00E371E1">
        <w:rPr>
          <w:rFonts w:ascii="Times New Roman" w:hAnsi="Times New Roman" w:cs="Times New Roman"/>
          <w:sz w:val="24"/>
          <w:szCs w:val="24"/>
        </w:rPr>
        <w:t>3</w:t>
      </w:r>
      <w:r w:rsidR="001643D5" w:rsidRPr="00E371E1">
        <w:rPr>
          <w:rFonts w:ascii="Times New Roman" w:hAnsi="Times New Roman" w:cs="Times New Roman"/>
          <w:sz w:val="24"/>
          <w:szCs w:val="24"/>
        </w:rPr>
        <w:t>-9).</w:t>
      </w:r>
      <w:proofErr w:type="gramEnd"/>
      <w:r w:rsidR="009B4EA3">
        <w:rPr>
          <w:rFonts w:ascii="Times New Roman" w:hAnsi="Times New Roman" w:cs="Times New Roman"/>
          <w:sz w:val="24"/>
          <w:szCs w:val="24"/>
        </w:rPr>
        <w:t xml:space="preserve"> </w:t>
      </w:r>
      <w:r w:rsidR="00DC7F5D" w:rsidRPr="00E371E1">
        <w:rPr>
          <w:rFonts w:ascii="Times New Roman" w:hAnsi="Times New Roman" w:cs="Times New Roman"/>
          <w:sz w:val="24"/>
          <w:szCs w:val="24"/>
        </w:rPr>
        <w:t>McKerr remained in legal play.</w:t>
      </w:r>
      <w:r w:rsidR="0020481B" w:rsidRPr="00E371E1">
        <w:rPr>
          <w:rStyle w:val="FootnoteReference"/>
          <w:rFonts w:ascii="Times New Roman" w:hAnsi="Times New Roman" w:cs="Times New Roman"/>
          <w:sz w:val="24"/>
          <w:szCs w:val="24"/>
        </w:rPr>
        <w:footnoteReference w:id="18"/>
      </w:r>
    </w:p>
    <w:p w14:paraId="06984365" w14:textId="77777777" w:rsidR="00F65F69" w:rsidRPr="00E371E1" w:rsidRDefault="00F65F69" w:rsidP="00E371E1">
      <w:pPr>
        <w:pStyle w:val="NoSpacing"/>
        <w:jc w:val="both"/>
        <w:rPr>
          <w:rFonts w:ascii="Times New Roman" w:hAnsi="Times New Roman" w:cs="Times New Roman"/>
          <w:sz w:val="24"/>
          <w:szCs w:val="24"/>
        </w:rPr>
      </w:pPr>
    </w:p>
    <w:p w14:paraId="765A706F" w14:textId="27D1E7A9" w:rsidR="00F65F69" w:rsidRPr="00E371E1" w:rsidRDefault="00F65F69"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In </w:t>
      </w:r>
      <w:r w:rsidRPr="00E371E1">
        <w:rPr>
          <w:rFonts w:ascii="Times New Roman" w:hAnsi="Times New Roman" w:cs="Times New Roman"/>
          <w:b/>
          <w:bCs/>
          <w:sz w:val="24"/>
          <w:szCs w:val="24"/>
        </w:rPr>
        <w:t>the matter of Finucane’s Application for Judicial Review, Re [2019] UKSC 7</w:t>
      </w:r>
      <w:r w:rsidRPr="00E371E1">
        <w:rPr>
          <w:rFonts w:ascii="Times New Roman" w:hAnsi="Times New Roman" w:cs="Times New Roman"/>
          <w:sz w:val="24"/>
          <w:szCs w:val="24"/>
        </w:rPr>
        <w:t xml:space="preserve">, </w:t>
      </w:r>
      <w:r w:rsidR="00DC7F5D" w:rsidRPr="00E371E1">
        <w:rPr>
          <w:rFonts w:ascii="Times New Roman" w:hAnsi="Times New Roman" w:cs="Times New Roman"/>
          <w:sz w:val="24"/>
          <w:szCs w:val="24"/>
        </w:rPr>
        <w:t xml:space="preserve">Lord </w:t>
      </w:r>
      <w:r w:rsidRPr="00E371E1">
        <w:rPr>
          <w:rFonts w:ascii="Times New Roman" w:hAnsi="Times New Roman" w:cs="Times New Roman"/>
          <w:sz w:val="24"/>
          <w:szCs w:val="24"/>
        </w:rPr>
        <w:t>Kerr gave the judgment on behalf of his four colleagues.</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Showing a preference for Strasbourg case law, </w:t>
      </w:r>
      <w:r w:rsidR="00332797" w:rsidRPr="00E371E1">
        <w:rPr>
          <w:rFonts w:ascii="Times New Roman" w:hAnsi="Times New Roman" w:cs="Times New Roman"/>
          <w:sz w:val="24"/>
          <w:szCs w:val="24"/>
        </w:rPr>
        <w:t>he nevertheless left undecided the question of McKerr (para 111).</w:t>
      </w:r>
      <w:r w:rsidR="009B4EA3">
        <w:rPr>
          <w:rFonts w:ascii="Times New Roman" w:hAnsi="Times New Roman" w:cs="Times New Roman"/>
          <w:sz w:val="24"/>
          <w:szCs w:val="24"/>
        </w:rPr>
        <w:t xml:space="preserve"> </w:t>
      </w:r>
      <w:r w:rsidR="00332797" w:rsidRPr="00E371E1">
        <w:rPr>
          <w:rFonts w:ascii="Times New Roman" w:hAnsi="Times New Roman" w:cs="Times New Roman"/>
          <w:sz w:val="24"/>
          <w:szCs w:val="24"/>
        </w:rPr>
        <w:t>The supreme court declared that there had not been an article 2 compliant inquiry (</w:t>
      </w:r>
      <w:r w:rsidR="00DC7F5D" w:rsidRPr="00E371E1">
        <w:rPr>
          <w:rFonts w:ascii="Times New Roman" w:hAnsi="Times New Roman" w:cs="Times New Roman"/>
          <w:sz w:val="24"/>
          <w:szCs w:val="24"/>
        </w:rPr>
        <w:t>despite</w:t>
      </w:r>
      <w:r w:rsidR="00332797" w:rsidRPr="00E371E1">
        <w:rPr>
          <w:rFonts w:ascii="Times New Roman" w:hAnsi="Times New Roman" w:cs="Times New Roman"/>
          <w:sz w:val="24"/>
          <w:szCs w:val="24"/>
        </w:rPr>
        <w:t xml:space="preserve"> Sir Desmond de Silva’s </w:t>
      </w:r>
      <w:r w:rsidR="00DC7F5D" w:rsidRPr="00E371E1">
        <w:rPr>
          <w:rFonts w:ascii="Times New Roman" w:hAnsi="Times New Roman" w:cs="Times New Roman"/>
          <w:sz w:val="24"/>
          <w:szCs w:val="24"/>
        </w:rPr>
        <w:t xml:space="preserve">two-volume </w:t>
      </w:r>
      <w:r w:rsidR="00332797" w:rsidRPr="00E371E1">
        <w:rPr>
          <w:rFonts w:ascii="Times New Roman" w:hAnsi="Times New Roman" w:cs="Times New Roman"/>
          <w:sz w:val="24"/>
          <w:szCs w:val="24"/>
        </w:rPr>
        <w:t>report</w:t>
      </w:r>
      <w:r w:rsidR="00CE76D5" w:rsidRPr="00E371E1">
        <w:rPr>
          <w:rStyle w:val="FootnoteReference"/>
          <w:rFonts w:ascii="Times New Roman" w:hAnsi="Times New Roman" w:cs="Times New Roman"/>
          <w:sz w:val="24"/>
          <w:szCs w:val="24"/>
        </w:rPr>
        <w:footnoteReference w:id="19"/>
      </w:r>
      <w:r w:rsidR="00332797" w:rsidRPr="00E371E1">
        <w:rPr>
          <w:rFonts w:ascii="Times New Roman" w:hAnsi="Times New Roman" w:cs="Times New Roman"/>
          <w:sz w:val="24"/>
          <w:szCs w:val="24"/>
        </w:rPr>
        <w:t>), but then</w:t>
      </w:r>
      <w:r w:rsidR="00BC71EF">
        <w:rPr>
          <w:rFonts w:ascii="Times New Roman" w:hAnsi="Times New Roman" w:cs="Times New Roman"/>
          <w:sz w:val="24"/>
          <w:szCs w:val="24"/>
        </w:rPr>
        <w:t xml:space="preserve"> went on to deny </w:t>
      </w:r>
      <w:r w:rsidR="00932BB8" w:rsidRPr="00932BB8">
        <w:rPr>
          <w:rFonts w:ascii="Times New Roman" w:hAnsi="Times New Roman" w:cs="Times New Roman"/>
          <w:sz w:val="24"/>
          <w:szCs w:val="24"/>
        </w:rPr>
        <w:t xml:space="preserve">any implication for the </w:t>
      </w:r>
      <w:r w:rsidR="00932BB8">
        <w:rPr>
          <w:rFonts w:ascii="Times New Roman" w:hAnsi="Times New Roman" w:cs="Times New Roman"/>
          <w:sz w:val="24"/>
          <w:szCs w:val="24"/>
        </w:rPr>
        <w:t>applicants and their supporters</w:t>
      </w:r>
      <w:r w:rsidR="00332797" w:rsidRPr="00E371E1">
        <w:rPr>
          <w:rFonts w:ascii="Times New Roman" w:hAnsi="Times New Roman" w:cs="Times New Roman"/>
          <w:sz w:val="24"/>
          <w:szCs w:val="24"/>
        </w:rPr>
        <w:t>: ‘It does not follow that a public inquiry of the type</w:t>
      </w:r>
      <w:r w:rsidR="00BE076B" w:rsidRPr="00E371E1">
        <w:rPr>
          <w:rFonts w:ascii="Times New Roman" w:hAnsi="Times New Roman" w:cs="Times New Roman"/>
          <w:sz w:val="24"/>
          <w:szCs w:val="24"/>
        </w:rPr>
        <w:t xml:space="preserve"> which the appellant seeks must be ordered.</w:t>
      </w:r>
      <w:r w:rsidR="009B4EA3">
        <w:rPr>
          <w:rFonts w:ascii="Times New Roman" w:hAnsi="Times New Roman" w:cs="Times New Roman"/>
          <w:sz w:val="24"/>
          <w:szCs w:val="24"/>
        </w:rPr>
        <w:t xml:space="preserve"> </w:t>
      </w:r>
      <w:r w:rsidR="00BE076B" w:rsidRPr="00E371E1">
        <w:rPr>
          <w:rFonts w:ascii="Times New Roman" w:hAnsi="Times New Roman" w:cs="Times New Roman"/>
          <w:sz w:val="24"/>
          <w:szCs w:val="24"/>
        </w:rPr>
        <w:t>It is for the state to decide, in light of the incapacity of Sir Desmond de Silva’s review and the inquiries which preceded it to mee</w:t>
      </w:r>
      <w:r w:rsidR="00DC7F5D" w:rsidRPr="00E371E1">
        <w:rPr>
          <w:rFonts w:ascii="Times New Roman" w:hAnsi="Times New Roman" w:cs="Times New Roman"/>
          <w:sz w:val="24"/>
          <w:szCs w:val="24"/>
        </w:rPr>
        <w:t xml:space="preserve">t </w:t>
      </w:r>
      <w:r w:rsidR="00BE076B" w:rsidRPr="00E371E1">
        <w:rPr>
          <w:rFonts w:ascii="Times New Roman" w:hAnsi="Times New Roman" w:cs="Times New Roman"/>
          <w:sz w:val="24"/>
          <w:szCs w:val="24"/>
        </w:rPr>
        <w:t>the procedural requirement of article 2, what form of investigation, if indeed any is now feasible, is required in order to meet that requirement.</w:t>
      </w:r>
      <w:r w:rsidR="009B4EA3">
        <w:rPr>
          <w:rFonts w:ascii="Times New Roman" w:hAnsi="Times New Roman" w:cs="Times New Roman"/>
          <w:sz w:val="24"/>
          <w:szCs w:val="24"/>
        </w:rPr>
        <w:t xml:space="preserve"> </w:t>
      </w:r>
      <w:r w:rsidR="00BE076B" w:rsidRPr="00E371E1">
        <w:rPr>
          <w:rFonts w:ascii="Times New Roman" w:hAnsi="Times New Roman" w:cs="Times New Roman"/>
          <w:sz w:val="24"/>
          <w:szCs w:val="24"/>
        </w:rPr>
        <w:t>The appeal should otherwise be dismissed.’ (</w:t>
      </w:r>
      <w:proofErr w:type="gramStart"/>
      <w:r w:rsidR="00BE076B" w:rsidRPr="00E371E1">
        <w:rPr>
          <w:rFonts w:ascii="Times New Roman" w:hAnsi="Times New Roman" w:cs="Times New Roman"/>
          <w:sz w:val="24"/>
          <w:szCs w:val="24"/>
        </w:rPr>
        <w:t>paras</w:t>
      </w:r>
      <w:proofErr w:type="gramEnd"/>
      <w:r w:rsidR="00BE076B" w:rsidRPr="00E371E1">
        <w:rPr>
          <w:rFonts w:ascii="Times New Roman" w:hAnsi="Times New Roman" w:cs="Times New Roman"/>
          <w:sz w:val="24"/>
          <w:szCs w:val="24"/>
        </w:rPr>
        <w:t xml:space="preserve"> 153-4)</w:t>
      </w:r>
      <w:r w:rsidRPr="00E371E1">
        <w:rPr>
          <w:rFonts w:ascii="Times New Roman" w:hAnsi="Times New Roman" w:cs="Times New Roman"/>
          <w:sz w:val="24"/>
          <w:szCs w:val="24"/>
        </w:rPr>
        <w:t xml:space="preserve"> </w:t>
      </w:r>
      <w:r w:rsidR="004629FA" w:rsidRPr="004629FA">
        <w:rPr>
          <w:rFonts w:ascii="Times New Roman" w:hAnsi="Times New Roman" w:cs="Times New Roman"/>
          <w:sz w:val="24"/>
          <w:szCs w:val="24"/>
        </w:rPr>
        <w:t xml:space="preserve">153-4)  One possibility is that the other four </w:t>
      </w:r>
      <w:r w:rsidR="004629FA">
        <w:rPr>
          <w:rFonts w:ascii="Times New Roman" w:hAnsi="Times New Roman" w:cs="Times New Roman"/>
          <w:sz w:val="24"/>
          <w:szCs w:val="24"/>
        </w:rPr>
        <w:t xml:space="preserve">judges </w:t>
      </w:r>
      <w:r w:rsidR="004629FA" w:rsidRPr="004629FA">
        <w:rPr>
          <w:rFonts w:ascii="Times New Roman" w:hAnsi="Times New Roman" w:cs="Times New Roman"/>
          <w:sz w:val="24"/>
          <w:szCs w:val="24"/>
        </w:rPr>
        <w:t>were insistent on the addition of these last two paragraphs.</w:t>
      </w:r>
    </w:p>
    <w:p w14:paraId="16F15A0F" w14:textId="77777777" w:rsidR="00EF7A43" w:rsidRPr="00E371E1" w:rsidRDefault="00EF7A43" w:rsidP="00E371E1">
      <w:pPr>
        <w:pStyle w:val="NoSpacing"/>
        <w:jc w:val="both"/>
        <w:rPr>
          <w:rFonts w:ascii="Times New Roman" w:hAnsi="Times New Roman" w:cs="Times New Roman"/>
          <w:sz w:val="24"/>
          <w:szCs w:val="24"/>
        </w:rPr>
      </w:pPr>
    </w:p>
    <w:p w14:paraId="45BA4B8E" w14:textId="5CFD3A93" w:rsidR="00EF7A43" w:rsidRPr="00E371E1" w:rsidRDefault="00EF7A43" w:rsidP="00E371E1">
      <w:pPr>
        <w:pStyle w:val="NoSpacing"/>
        <w:jc w:val="both"/>
        <w:rPr>
          <w:rFonts w:ascii="Times New Roman" w:hAnsi="Times New Roman" w:cs="Times New Roman"/>
          <w:b/>
          <w:bCs/>
          <w:sz w:val="24"/>
          <w:szCs w:val="24"/>
        </w:rPr>
      </w:pPr>
      <w:r w:rsidRPr="00E371E1">
        <w:rPr>
          <w:rFonts w:ascii="Times New Roman" w:hAnsi="Times New Roman" w:cs="Times New Roman"/>
          <w:b/>
          <w:bCs/>
          <w:sz w:val="24"/>
          <w:szCs w:val="24"/>
        </w:rPr>
        <w:t>Conclusion</w:t>
      </w:r>
    </w:p>
    <w:p w14:paraId="79BD0C30" w14:textId="64899821" w:rsidR="00EF7A43" w:rsidRPr="00E371E1" w:rsidRDefault="00EF7A43" w:rsidP="00E371E1">
      <w:pPr>
        <w:pStyle w:val="NoSpacing"/>
        <w:jc w:val="both"/>
        <w:rPr>
          <w:rFonts w:ascii="Times New Roman" w:hAnsi="Times New Roman" w:cs="Times New Roman"/>
          <w:b/>
          <w:bCs/>
          <w:sz w:val="24"/>
          <w:szCs w:val="24"/>
        </w:rPr>
      </w:pPr>
    </w:p>
    <w:p w14:paraId="0D9E0C39" w14:textId="5A943D96" w:rsidR="00EF7A43" w:rsidRPr="00E371E1" w:rsidRDefault="00EF7A43"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I will conclude with </w:t>
      </w:r>
      <w:r w:rsidR="006505CD" w:rsidRPr="00E371E1">
        <w:rPr>
          <w:rFonts w:ascii="Times New Roman" w:hAnsi="Times New Roman" w:cs="Times New Roman"/>
          <w:sz w:val="24"/>
          <w:szCs w:val="24"/>
        </w:rPr>
        <w:t>a few</w:t>
      </w:r>
      <w:r w:rsidRPr="00E371E1">
        <w:rPr>
          <w:rFonts w:ascii="Times New Roman" w:hAnsi="Times New Roman" w:cs="Times New Roman"/>
          <w:sz w:val="24"/>
          <w:szCs w:val="24"/>
        </w:rPr>
        <w:t xml:space="preserve"> questions regarding Strasbourg:</w:t>
      </w:r>
    </w:p>
    <w:p w14:paraId="1A077AF1" w14:textId="7B1D9257" w:rsidR="00EF7A43" w:rsidRPr="00E371E1" w:rsidRDefault="00EF7A43" w:rsidP="00E371E1">
      <w:pPr>
        <w:pStyle w:val="NoSpacing"/>
        <w:jc w:val="both"/>
        <w:rPr>
          <w:rFonts w:ascii="Times New Roman" w:hAnsi="Times New Roman" w:cs="Times New Roman"/>
          <w:sz w:val="24"/>
          <w:szCs w:val="24"/>
        </w:rPr>
      </w:pPr>
    </w:p>
    <w:p w14:paraId="6E9CB74D" w14:textId="75F2B1FE" w:rsidR="00DC7F5D" w:rsidRPr="00E371E1" w:rsidRDefault="00DC7F5D"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lastRenderedPageBreak/>
        <w:t>first, does Strasbourg accept that, in imposing ever increasing standards on the UK for past actions/</w:t>
      </w:r>
      <w:r w:rsidR="0020481B" w:rsidRPr="00E371E1">
        <w:rPr>
          <w:rFonts w:ascii="Times New Roman" w:hAnsi="Times New Roman" w:cs="Times New Roman"/>
          <w:sz w:val="24"/>
          <w:szCs w:val="24"/>
        </w:rPr>
        <w:t>omissions</w:t>
      </w:r>
      <w:r w:rsidRPr="00E371E1">
        <w:rPr>
          <w:rFonts w:ascii="Times New Roman" w:hAnsi="Times New Roman" w:cs="Times New Roman"/>
          <w:sz w:val="24"/>
          <w:szCs w:val="24"/>
        </w:rPr>
        <w:t xml:space="preserve"> (going back </w:t>
      </w:r>
      <w:r w:rsidR="0020481B" w:rsidRPr="00E371E1">
        <w:rPr>
          <w:rFonts w:ascii="Times New Roman" w:hAnsi="Times New Roman" w:cs="Times New Roman"/>
          <w:sz w:val="24"/>
          <w:szCs w:val="24"/>
        </w:rPr>
        <w:t xml:space="preserve">potentially </w:t>
      </w:r>
      <w:r w:rsidRPr="00E371E1">
        <w:rPr>
          <w:rFonts w:ascii="Times New Roman" w:hAnsi="Times New Roman" w:cs="Times New Roman"/>
          <w:sz w:val="24"/>
          <w:szCs w:val="24"/>
        </w:rPr>
        <w:t>to 1968), such retrospectivity cuts against the grain of the common law (including international law), whether located in statutes or cases?;</w:t>
      </w:r>
    </w:p>
    <w:p w14:paraId="313233C5" w14:textId="77777777" w:rsidR="00DC7F5D" w:rsidRPr="00E371E1" w:rsidRDefault="00DC7F5D" w:rsidP="00E371E1">
      <w:pPr>
        <w:pStyle w:val="NoSpacing"/>
        <w:jc w:val="both"/>
        <w:rPr>
          <w:rFonts w:ascii="Times New Roman" w:hAnsi="Times New Roman" w:cs="Times New Roman"/>
          <w:sz w:val="24"/>
          <w:szCs w:val="24"/>
        </w:rPr>
      </w:pPr>
    </w:p>
    <w:p w14:paraId="388416F5" w14:textId="7C2963C7" w:rsidR="00EF7A43" w:rsidRPr="00E371E1" w:rsidRDefault="00DC7F5D" w:rsidP="00E371E1">
      <w:pPr>
        <w:pStyle w:val="NoSpacing"/>
        <w:jc w:val="both"/>
        <w:rPr>
          <w:rFonts w:ascii="Times New Roman" w:hAnsi="Times New Roman" w:cs="Times New Roman"/>
          <w:sz w:val="24"/>
          <w:szCs w:val="24"/>
        </w:rPr>
      </w:pPr>
      <w:proofErr w:type="gramStart"/>
      <w:r w:rsidRPr="00E371E1">
        <w:rPr>
          <w:rFonts w:ascii="Times New Roman" w:hAnsi="Times New Roman" w:cs="Times New Roman"/>
          <w:sz w:val="24"/>
          <w:szCs w:val="24"/>
        </w:rPr>
        <w:t>second</w:t>
      </w:r>
      <w:proofErr w:type="gramEnd"/>
      <w:r w:rsidRPr="00E371E1">
        <w:rPr>
          <w:rFonts w:ascii="Times New Roman" w:hAnsi="Times New Roman" w:cs="Times New Roman"/>
          <w:sz w:val="24"/>
          <w:szCs w:val="24"/>
        </w:rPr>
        <w:t xml:space="preserve">, does Strasbourg accept (though it has never said so in judgments), that the right to life was in the main protected by the UK (despite the 90 of terrorist killings), and </w:t>
      </w:r>
      <w:r w:rsidR="0020481B" w:rsidRPr="00E371E1">
        <w:rPr>
          <w:rFonts w:ascii="Times New Roman" w:hAnsi="Times New Roman" w:cs="Times New Roman"/>
          <w:sz w:val="24"/>
          <w:szCs w:val="24"/>
        </w:rPr>
        <w:t xml:space="preserve">that state’s </w:t>
      </w:r>
      <w:r w:rsidRPr="00E371E1">
        <w:rPr>
          <w:rFonts w:ascii="Times New Roman" w:hAnsi="Times New Roman" w:cs="Times New Roman"/>
          <w:sz w:val="24"/>
          <w:szCs w:val="24"/>
        </w:rPr>
        <w:t>putative violations of article 2 procedural (in the 10 per cent of state killings) distorts the story of human rights protection?;</w:t>
      </w:r>
    </w:p>
    <w:p w14:paraId="2ED77C37" w14:textId="77777777" w:rsidR="00DC7F5D" w:rsidRPr="00E371E1" w:rsidRDefault="00DC7F5D" w:rsidP="00E371E1">
      <w:pPr>
        <w:pStyle w:val="NoSpacing"/>
        <w:jc w:val="both"/>
        <w:rPr>
          <w:rFonts w:ascii="Times New Roman" w:hAnsi="Times New Roman" w:cs="Times New Roman"/>
          <w:sz w:val="24"/>
          <w:szCs w:val="24"/>
        </w:rPr>
      </w:pPr>
    </w:p>
    <w:p w14:paraId="6F0F08F4" w14:textId="26752893" w:rsidR="00DC7F5D" w:rsidRPr="00E371E1" w:rsidRDefault="00DC7F5D"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 xml:space="preserve">three, while the Jordan line of cases, from 2001 to </w:t>
      </w:r>
      <w:r w:rsidR="000F68CC" w:rsidRPr="00E371E1">
        <w:rPr>
          <w:rFonts w:ascii="Times New Roman" w:hAnsi="Times New Roman" w:cs="Times New Roman"/>
          <w:sz w:val="24"/>
          <w:szCs w:val="24"/>
        </w:rPr>
        <w:t>2013 (and continuing?), has had a huge impact on the way the UK addresses legacy in NI (or not), has Strasbourg not selected one particular category of victims: the relatives of republican terrorists (not terrorists in general), ignoring: the relatives of soldiers and police killed, the relatives (catholic and protestant) of republican terrorists, and the relatives (protestant and catholic) of loyalist terrorists, where collusion is not alleged? And;</w:t>
      </w:r>
    </w:p>
    <w:p w14:paraId="27F4F784" w14:textId="77777777" w:rsidR="000F68CC" w:rsidRPr="00E371E1" w:rsidRDefault="000F68CC" w:rsidP="00E371E1">
      <w:pPr>
        <w:pStyle w:val="NoSpacing"/>
        <w:jc w:val="both"/>
        <w:rPr>
          <w:rFonts w:ascii="Times New Roman" w:hAnsi="Times New Roman" w:cs="Times New Roman"/>
          <w:sz w:val="24"/>
          <w:szCs w:val="24"/>
        </w:rPr>
      </w:pPr>
    </w:p>
    <w:p w14:paraId="77A249C5" w14:textId="61F7666B" w:rsidR="000F68CC" w:rsidRPr="00E371E1" w:rsidRDefault="000F68CC" w:rsidP="00E371E1">
      <w:pPr>
        <w:pStyle w:val="NoSpacing"/>
        <w:jc w:val="both"/>
        <w:rPr>
          <w:rFonts w:ascii="Times New Roman" w:hAnsi="Times New Roman" w:cs="Times New Roman"/>
          <w:sz w:val="24"/>
          <w:szCs w:val="24"/>
        </w:rPr>
      </w:pPr>
      <w:proofErr w:type="gramStart"/>
      <w:r w:rsidRPr="00E371E1">
        <w:rPr>
          <w:rFonts w:ascii="Times New Roman" w:hAnsi="Times New Roman" w:cs="Times New Roman"/>
          <w:sz w:val="24"/>
          <w:szCs w:val="24"/>
        </w:rPr>
        <w:t>four</w:t>
      </w:r>
      <w:proofErr w:type="gramEnd"/>
      <w:r w:rsidRPr="00E371E1">
        <w:rPr>
          <w:rFonts w:ascii="Times New Roman" w:hAnsi="Times New Roman" w:cs="Times New Roman"/>
          <w:sz w:val="24"/>
          <w:szCs w:val="24"/>
        </w:rPr>
        <w:t>, has Strasbourg not been responsible, from McCann to Jordan, via Silih and Janowiec, for the lawfare, which occupies the place w</w:t>
      </w:r>
      <w:r w:rsidR="001A09F5">
        <w:rPr>
          <w:rFonts w:ascii="Times New Roman" w:hAnsi="Times New Roman" w:cs="Times New Roman"/>
          <w:sz w:val="24"/>
          <w:szCs w:val="24"/>
        </w:rPr>
        <w:t>here a legacy policy should be</w:t>
      </w:r>
      <w:r w:rsidR="00C4486B" w:rsidRPr="00E371E1">
        <w:rPr>
          <w:rFonts w:ascii="Times New Roman" w:hAnsi="Times New Roman" w:cs="Times New Roman"/>
          <w:sz w:val="24"/>
          <w:szCs w:val="24"/>
        </w:rPr>
        <w:t>?</w:t>
      </w:r>
    </w:p>
    <w:p w14:paraId="01CADF1F" w14:textId="77777777" w:rsidR="00C4486B" w:rsidRPr="00E371E1" w:rsidRDefault="00C4486B" w:rsidP="00E371E1">
      <w:pPr>
        <w:pStyle w:val="NoSpacing"/>
        <w:jc w:val="both"/>
        <w:rPr>
          <w:rFonts w:ascii="Times New Roman" w:hAnsi="Times New Roman" w:cs="Times New Roman"/>
          <w:sz w:val="24"/>
          <w:szCs w:val="24"/>
        </w:rPr>
      </w:pPr>
    </w:p>
    <w:p w14:paraId="0957A112" w14:textId="596564CC" w:rsidR="00C4486B" w:rsidRPr="00E371E1" w:rsidRDefault="00C4486B" w:rsidP="00E371E1">
      <w:pPr>
        <w:pStyle w:val="NoSpacing"/>
        <w:jc w:val="both"/>
        <w:rPr>
          <w:rFonts w:ascii="Times New Roman" w:hAnsi="Times New Roman" w:cs="Times New Roman"/>
          <w:i/>
          <w:iCs/>
          <w:sz w:val="24"/>
          <w:szCs w:val="24"/>
        </w:rPr>
      </w:pPr>
      <w:r w:rsidRPr="00E371E1">
        <w:rPr>
          <w:rFonts w:ascii="Times New Roman" w:hAnsi="Times New Roman" w:cs="Times New Roman"/>
          <w:i/>
          <w:iCs/>
          <w:sz w:val="24"/>
          <w:szCs w:val="24"/>
        </w:rPr>
        <w:t>Afterword</w:t>
      </w:r>
    </w:p>
    <w:p w14:paraId="21D8DAED" w14:textId="17537065" w:rsidR="00C4486B" w:rsidRPr="00E371E1" w:rsidRDefault="00C4486B" w:rsidP="00E371E1">
      <w:pPr>
        <w:pStyle w:val="NoSpacing"/>
        <w:jc w:val="both"/>
        <w:rPr>
          <w:rFonts w:ascii="Times New Roman" w:hAnsi="Times New Roman" w:cs="Times New Roman"/>
          <w:i/>
          <w:iCs/>
          <w:sz w:val="24"/>
          <w:szCs w:val="24"/>
        </w:rPr>
      </w:pPr>
    </w:p>
    <w:p w14:paraId="770B924D" w14:textId="3BA140E8" w:rsidR="00C4486B" w:rsidRPr="00E371E1" w:rsidRDefault="00C4486B" w:rsidP="00E371E1">
      <w:pPr>
        <w:pStyle w:val="NoSpacing"/>
        <w:jc w:val="both"/>
        <w:rPr>
          <w:rFonts w:ascii="Times New Roman" w:hAnsi="Times New Roman" w:cs="Times New Roman"/>
          <w:sz w:val="24"/>
          <w:szCs w:val="24"/>
        </w:rPr>
      </w:pPr>
      <w:proofErr w:type="gramStart"/>
      <w:r w:rsidRPr="00E371E1">
        <w:rPr>
          <w:rFonts w:ascii="Times New Roman" w:hAnsi="Times New Roman" w:cs="Times New Roman"/>
          <w:sz w:val="24"/>
          <w:szCs w:val="24"/>
        </w:rPr>
        <w:t>Two final points.</w:t>
      </w:r>
      <w:proofErr w:type="gramEnd"/>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First, </w:t>
      </w:r>
      <w:r w:rsidR="00BF671F" w:rsidRPr="00E371E1">
        <w:rPr>
          <w:rFonts w:ascii="Times New Roman" w:hAnsi="Times New Roman" w:cs="Times New Roman"/>
          <w:sz w:val="24"/>
          <w:szCs w:val="24"/>
        </w:rPr>
        <w:t>Strasbourg may respond that it is not responsible for who seeks a human rights remedy.</w:t>
      </w:r>
      <w:r w:rsidR="009B4EA3">
        <w:rPr>
          <w:rFonts w:ascii="Times New Roman" w:hAnsi="Times New Roman" w:cs="Times New Roman"/>
          <w:sz w:val="24"/>
          <w:szCs w:val="24"/>
        </w:rPr>
        <w:t xml:space="preserve"> </w:t>
      </w:r>
      <w:r w:rsidR="00BF671F" w:rsidRPr="00E371E1">
        <w:rPr>
          <w:rFonts w:ascii="Times New Roman" w:hAnsi="Times New Roman" w:cs="Times New Roman"/>
          <w:sz w:val="24"/>
          <w:szCs w:val="24"/>
        </w:rPr>
        <w:t>True.</w:t>
      </w:r>
      <w:r w:rsidR="009B4EA3">
        <w:rPr>
          <w:rFonts w:ascii="Times New Roman" w:hAnsi="Times New Roman" w:cs="Times New Roman"/>
          <w:sz w:val="24"/>
          <w:szCs w:val="24"/>
        </w:rPr>
        <w:t xml:space="preserve"> </w:t>
      </w:r>
      <w:r w:rsidR="00BF671F" w:rsidRPr="00E371E1">
        <w:rPr>
          <w:rFonts w:ascii="Times New Roman" w:hAnsi="Times New Roman" w:cs="Times New Roman"/>
          <w:sz w:val="24"/>
          <w:szCs w:val="24"/>
        </w:rPr>
        <w:t>But why would the relatives of soldiers, police officers, victims of republican terrorism and victims of loyalist terrorism (not arguing collusion) have any faith in Strasbourg after the case law discussed above?</w:t>
      </w:r>
    </w:p>
    <w:p w14:paraId="564EC6AA" w14:textId="7B05A215" w:rsidR="00BF671F" w:rsidRPr="00E371E1" w:rsidRDefault="00BF671F" w:rsidP="00E371E1">
      <w:pPr>
        <w:pStyle w:val="NoSpacing"/>
        <w:jc w:val="both"/>
        <w:rPr>
          <w:rFonts w:ascii="Times New Roman" w:hAnsi="Times New Roman" w:cs="Times New Roman"/>
          <w:sz w:val="24"/>
          <w:szCs w:val="24"/>
        </w:rPr>
      </w:pPr>
    </w:p>
    <w:p w14:paraId="2227F0FF" w14:textId="55505005" w:rsidR="00BF671F" w:rsidRPr="00E371E1" w:rsidRDefault="00BF671F" w:rsidP="00E371E1">
      <w:pPr>
        <w:pStyle w:val="NoSpacing"/>
        <w:jc w:val="both"/>
        <w:rPr>
          <w:rFonts w:ascii="Times New Roman" w:hAnsi="Times New Roman" w:cs="Times New Roman"/>
          <w:b/>
          <w:bCs/>
          <w:sz w:val="24"/>
          <w:szCs w:val="24"/>
        </w:rPr>
      </w:pPr>
      <w:r w:rsidRPr="00E371E1">
        <w:rPr>
          <w:rFonts w:ascii="Times New Roman" w:hAnsi="Times New Roman" w:cs="Times New Roman"/>
          <w:sz w:val="24"/>
          <w:szCs w:val="24"/>
        </w:rPr>
        <w:t>And second and finally, in Jordan, Strasbourg reached out to relatives in a</w:t>
      </w:r>
      <w:r w:rsidR="003E7E54" w:rsidRPr="00E371E1">
        <w:rPr>
          <w:rFonts w:ascii="Times New Roman" w:hAnsi="Times New Roman" w:cs="Times New Roman"/>
          <w:sz w:val="24"/>
          <w:szCs w:val="24"/>
        </w:rPr>
        <w:t xml:space="preserve">n </w:t>
      </w:r>
      <w:r w:rsidR="00922608" w:rsidRPr="00E371E1">
        <w:rPr>
          <w:rFonts w:ascii="Times New Roman" w:hAnsi="Times New Roman" w:cs="Times New Roman"/>
          <w:sz w:val="24"/>
          <w:szCs w:val="24"/>
        </w:rPr>
        <w:t>unprecedented</w:t>
      </w:r>
      <w:r w:rsidR="003E7E54" w:rsidRPr="00E371E1">
        <w:rPr>
          <w:rFonts w:ascii="Times New Roman" w:hAnsi="Times New Roman" w:cs="Times New Roman"/>
          <w:sz w:val="24"/>
          <w:szCs w:val="24"/>
        </w:rPr>
        <w:t xml:space="preserve"> manner.</w:t>
      </w:r>
      <w:r w:rsidR="009B4EA3">
        <w:rPr>
          <w:rFonts w:ascii="Times New Roman" w:hAnsi="Times New Roman" w:cs="Times New Roman"/>
          <w:sz w:val="24"/>
          <w:szCs w:val="24"/>
        </w:rPr>
        <w:t xml:space="preserve"> </w:t>
      </w:r>
      <w:r w:rsidR="003E7E54" w:rsidRPr="00E371E1">
        <w:rPr>
          <w:rFonts w:ascii="Times New Roman" w:hAnsi="Times New Roman" w:cs="Times New Roman"/>
          <w:sz w:val="24"/>
          <w:szCs w:val="24"/>
        </w:rPr>
        <w:t xml:space="preserve">The court perceived there to be a question of </w:t>
      </w:r>
      <w:r w:rsidR="0020481B" w:rsidRPr="00E371E1">
        <w:rPr>
          <w:rFonts w:ascii="Times New Roman" w:hAnsi="Times New Roman" w:cs="Times New Roman"/>
          <w:sz w:val="24"/>
          <w:szCs w:val="24"/>
        </w:rPr>
        <w:t xml:space="preserve">lack of </w:t>
      </w:r>
      <w:r w:rsidR="003E7E54" w:rsidRPr="00E371E1">
        <w:rPr>
          <w:rFonts w:ascii="Times New Roman" w:hAnsi="Times New Roman" w:cs="Times New Roman"/>
          <w:sz w:val="24"/>
          <w:szCs w:val="24"/>
        </w:rPr>
        <w:t>public confidence in NI: ‘The court would observe that the shortcomings in transparency and effectiveness identified above run counter to the purpose identified by the domestic courts of allaying suspicions and rumours.</w:t>
      </w:r>
      <w:r w:rsidR="009B4EA3">
        <w:rPr>
          <w:rFonts w:ascii="Times New Roman" w:hAnsi="Times New Roman" w:cs="Times New Roman"/>
          <w:sz w:val="24"/>
          <w:szCs w:val="24"/>
        </w:rPr>
        <w:t xml:space="preserve"> </w:t>
      </w:r>
      <w:r w:rsidR="003E7E54" w:rsidRPr="00E371E1">
        <w:rPr>
          <w:rFonts w:ascii="Times New Roman" w:hAnsi="Times New Roman" w:cs="Times New Roman"/>
          <w:sz w:val="24"/>
          <w:szCs w:val="24"/>
        </w:rPr>
        <w:t>Proper procedures for ensuring the accountability of agents of the State are indispensable in maintaining public confidence and meeting the legitimate concerns that might arise from the use of lethal force.</w:t>
      </w:r>
      <w:r w:rsidR="009B4EA3">
        <w:rPr>
          <w:rFonts w:ascii="Times New Roman" w:hAnsi="Times New Roman" w:cs="Times New Roman"/>
          <w:sz w:val="24"/>
          <w:szCs w:val="24"/>
        </w:rPr>
        <w:t xml:space="preserve"> </w:t>
      </w:r>
      <w:r w:rsidR="003E7E54" w:rsidRPr="00E371E1">
        <w:rPr>
          <w:rFonts w:ascii="Times New Roman" w:hAnsi="Times New Roman" w:cs="Times New Roman"/>
          <w:sz w:val="24"/>
          <w:szCs w:val="24"/>
        </w:rPr>
        <w:t xml:space="preserve">Lack of such procedures will only </w:t>
      </w:r>
      <w:proofErr w:type="gramStart"/>
      <w:r w:rsidR="003E7E54" w:rsidRPr="00E371E1">
        <w:rPr>
          <w:rFonts w:ascii="Times New Roman" w:hAnsi="Times New Roman" w:cs="Times New Roman"/>
          <w:sz w:val="24"/>
          <w:szCs w:val="24"/>
        </w:rPr>
        <w:t>add</w:t>
      </w:r>
      <w:proofErr w:type="gramEnd"/>
      <w:r w:rsidR="003E7E54" w:rsidRPr="00E371E1">
        <w:rPr>
          <w:rFonts w:ascii="Times New Roman" w:hAnsi="Times New Roman" w:cs="Times New Roman"/>
          <w:sz w:val="24"/>
          <w:szCs w:val="24"/>
        </w:rPr>
        <w:t xml:space="preserve"> fuel to fears of sinister motivations, as is illustrated </w:t>
      </w:r>
      <w:r w:rsidR="003E7E54" w:rsidRPr="00E371E1">
        <w:rPr>
          <w:rFonts w:ascii="Times New Roman" w:hAnsi="Times New Roman" w:cs="Times New Roman"/>
          <w:i/>
          <w:iCs/>
          <w:sz w:val="24"/>
          <w:szCs w:val="24"/>
        </w:rPr>
        <w:t xml:space="preserve">inter alia </w:t>
      </w:r>
      <w:r w:rsidR="003E7E54" w:rsidRPr="00E371E1">
        <w:rPr>
          <w:rFonts w:ascii="Times New Roman" w:hAnsi="Times New Roman" w:cs="Times New Roman"/>
          <w:sz w:val="24"/>
          <w:szCs w:val="24"/>
        </w:rPr>
        <w:t>by the submissions made by the applicant concerning the alleged shoot-to-kill policy.’ (</w:t>
      </w:r>
      <w:proofErr w:type="gramStart"/>
      <w:r w:rsidR="003E7E54" w:rsidRPr="00E371E1">
        <w:rPr>
          <w:rFonts w:ascii="Times New Roman" w:hAnsi="Times New Roman" w:cs="Times New Roman"/>
          <w:sz w:val="24"/>
          <w:szCs w:val="24"/>
        </w:rPr>
        <w:t>para</w:t>
      </w:r>
      <w:proofErr w:type="gramEnd"/>
      <w:r w:rsidR="003E7E54" w:rsidRPr="00E371E1">
        <w:rPr>
          <w:rFonts w:ascii="Times New Roman" w:hAnsi="Times New Roman" w:cs="Times New Roman"/>
          <w:sz w:val="24"/>
          <w:szCs w:val="24"/>
        </w:rPr>
        <w:t xml:space="preserve"> 144)</w:t>
      </w:r>
    </w:p>
    <w:p w14:paraId="3D8E2E51" w14:textId="77777777" w:rsidR="003E7E54" w:rsidRPr="00E371E1" w:rsidRDefault="003E7E54" w:rsidP="00E371E1">
      <w:pPr>
        <w:pStyle w:val="NoSpacing"/>
        <w:jc w:val="both"/>
        <w:rPr>
          <w:rFonts w:ascii="Times New Roman" w:hAnsi="Times New Roman" w:cs="Times New Roman"/>
          <w:b/>
          <w:bCs/>
          <w:sz w:val="24"/>
          <w:szCs w:val="24"/>
        </w:rPr>
      </w:pPr>
    </w:p>
    <w:p w14:paraId="325337BD" w14:textId="4CB80AF2" w:rsidR="003E7E54" w:rsidRPr="00E371E1" w:rsidRDefault="003E7E54" w:rsidP="00E371E1">
      <w:pPr>
        <w:pStyle w:val="NoSpacing"/>
        <w:jc w:val="both"/>
        <w:rPr>
          <w:rFonts w:ascii="Times New Roman" w:hAnsi="Times New Roman" w:cs="Times New Roman"/>
          <w:b/>
          <w:bCs/>
          <w:sz w:val="24"/>
          <w:szCs w:val="24"/>
        </w:rPr>
      </w:pPr>
      <w:proofErr w:type="gramStart"/>
      <w:r w:rsidRPr="00E371E1">
        <w:rPr>
          <w:rFonts w:ascii="Times New Roman" w:hAnsi="Times New Roman" w:cs="Times New Roman"/>
          <w:sz w:val="24"/>
          <w:szCs w:val="24"/>
        </w:rPr>
        <w:t>No doubt the Strasbourg judges, being people of rational frames of mind, believed in greater openness and all</w:t>
      </w:r>
      <w:r w:rsidR="00BC1D72">
        <w:rPr>
          <w:rFonts w:ascii="Times New Roman" w:hAnsi="Times New Roman" w:cs="Times New Roman"/>
          <w:sz w:val="24"/>
          <w:szCs w:val="24"/>
        </w:rPr>
        <w:t>a</w:t>
      </w:r>
      <w:r w:rsidRPr="00E371E1">
        <w:rPr>
          <w:rFonts w:ascii="Times New Roman" w:hAnsi="Times New Roman" w:cs="Times New Roman"/>
          <w:sz w:val="24"/>
          <w:szCs w:val="24"/>
        </w:rPr>
        <w:t>ying suspicions by patient explanation.</w:t>
      </w:r>
      <w:proofErr w:type="gramEnd"/>
      <w:r w:rsidR="009B4EA3">
        <w:rPr>
          <w:rFonts w:ascii="Times New Roman" w:hAnsi="Times New Roman" w:cs="Times New Roman"/>
          <w:sz w:val="24"/>
          <w:szCs w:val="24"/>
        </w:rPr>
        <w:t xml:space="preserve"> </w:t>
      </w:r>
      <w:r w:rsidRPr="00E371E1">
        <w:rPr>
          <w:rFonts w:ascii="Times New Roman" w:hAnsi="Times New Roman" w:cs="Times New Roman"/>
          <w:sz w:val="24"/>
          <w:szCs w:val="24"/>
        </w:rPr>
        <w:t xml:space="preserve">Can it be said that the article 2 procedural jurisprudence of Strasbourg has had a civilizing effect as regards UK state policy and practice, </w:t>
      </w:r>
      <w:r w:rsidR="006505CD" w:rsidRPr="00E371E1">
        <w:rPr>
          <w:rFonts w:ascii="Times New Roman" w:hAnsi="Times New Roman" w:cs="Times New Roman"/>
          <w:sz w:val="24"/>
          <w:szCs w:val="24"/>
        </w:rPr>
        <w:t xml:space="preserve">and allegations of </w:t>
      </w:r>
      <w:r w:rsidRPr="00E371E1">
        <w:rPr>
          <w:rFonts w:ascii="Times New Roman" w:hAnsi="Times New Roman" w:cs="Times New Roman"/>
          <w:sz w:val="24"/>
          <w:szCs w:val="24"/>
        </w:rPr>
        <w:t>shoot to kill and collusion etc?</w:t>
      </w:r>
      <w:r w:rsidR="009B4EA3">
        <w:rPr>
          <w:rFonts w:ascii="Times New Roman" w:hAnsi="Times New Roman" w:cs="Times New Roman"/>
          <w:sz w:val="24"/>
          <w:szCs w:val="24"/>
        </w:rPr>
        <w:t xml:space="preserve"> </w:t>
      </w:r>
      <w:r w:rsidR="006505CD" w:rsidRPr="00E371E1">
        <w:rPr>
          <w:rFonts w:ascii="Times New Roman" w:hAnsi="Times New Roman" w:cs="Times New Roman"/>
          <w:sz w:val="24"/>
          <w:szCs w:val="24"/>
        </w:rPr>
        <w:t>Have fears been allayed by all this Strasbourg-driven lawfare?</w:t>
      </w:r>
      <w:r w:rsidR="009B4EA3">
        <w:rPr>
          <w:rFonts w:ascii="Times New Roman" w:hAnsi="Times New Roman" w:cs="Times New Roman"/>
          <w:sz w:val="24"/>
          <w:szCs w:val="24"/>
        </w:rPr>
        <w:t xml:space="preserve"> </w:t>
      </w:r>
      <w:r w:rsidRPr="00E371E1">
        <w:rPr>
          <w:rFonts w:ascii="Times New Roman" w:hAnsi="Times New Roman" w:cs="Times New Roman"/>
          <w:sz w:val="24"/>
          <w:szCs w:val="24"/>
        </w:rPr>
        <w:t>The answer is incon</w:t>
      </w:r>
      <w:r w:rsidR="00BC1D72">
        <w:rPr>
          <w:rFonts w:ascii="Times New Roman" w:hAnsi="Times New Roman" w:cs="Times New Roman"/>
          <w:sz w:val="24"/>
          <w:szCs w:val="24"/>
        </w:rPr>
        <w:t>tro</w:t>
      </w:r>
      <w:r w:rsidRPr="00E371E1">
        <w:rPr>
          <w:rFonts w:ascii="Times New Roman" w:hAnsi="Times New Roman" w:cs="Times New Roman"/>
          <w:sz w:val="24"/>
          <w:szCs w:val="24"/>
        </w:rPr>
        <w:t>vertibly no, which is why Strasbourg should seek to review the contribution it has made to NI during an uneasy peace</w:t>
      </w:r>
      <w:r w:rsidR="006505CD" w:rsidRPr="00E371E1">
        <w:rPr>
          <w:rFonts w:ascii="Times New Roman" w:hAnsi="Times New Roman" w:cs="Times New Roman"/>
          <w:sz w:val="24"/>
          <w:szCs w:val="24"/>
        </w:rPr>
        <w:t xml:space="preserve"> of over twenty years</w:t>
      </w:r>
      <w:r w:rsidRPr="00E371E1">
        <w:rPr>
          <w:rFonts w:ascii="Times New Roman" w:hAnsi="Times New Roman" w:cs="Times New Roman"/>
          <w:sz w:val="24"/>
          <w:szCs w:val="24"/>
        </w:rPr>
        <w:t>.</w:t>
      </w:r>
    </w:p>
    <w:p w14:paraId="4A348FE8" w14:textId="5D818428" w:rsidR="003E7E54" w:rsidRPr="00E371E1" w:rsidRDefault="003E7E54" w:rsidP="00E371E1">
      <w:pPr>
        <w:pStyle w:val="NoSpacing"/>
        <w:jc w:val="both"/>
        <w:rPr>
          <w:rFonts w:ascii="Times New Roman" w:hAnsi="Times New Roman" w:cs="Times New Roman"/>
          <w:b/>
          <w:bCs/>
          <w:sz w:val="24"/>
          <w:szCs w:val="24"/>
        </w:rPr>
      </w:pPr>
    </w:p>
    <w:p w14:paraId="4CB7DA4E" w14:textId="58633B02" w:rsidR="003E7E54" w:rsidRPr="00E371E1" w:rsidRDefault="00B51AA5" w:rsidP="00E371E1">
      <w:pPr>
        <w:pStyle w:val="NoSpacing"/>
        <w:jc w:val="both"/>
        <w:rPr>
          <w:rFonts w:ascii="Times New Roman" w:hAnsi="Times New Roman" w:cs="Times New Roman"/>
          <w:sz w:val="24"/>
          <w:szCs w:val="24"/>
        </w:rPr>
      </w:pPr>
      <w:r>
        <w:rPr>
          <w:rFonts w:ascii="Times New Roman" w:hAnsi="Times New Roman" w:cs="Times New Roman"/>
          <w:sz w:val="24"/>
          <w:szCs w:val="24"/>
        </w:rPr>
        <w:t>Dr Austen Morgan</w:t>
      </w:r>
    </w:p>
    <w:p w14:paraId="161C97CF" w14:textId="2CCE663C" w:rsidR="003E7E54" w:rsidRPr="00E371E1" w:rsidRDefault="00B51AA5" w:rsidP="00E371E1">
      <w:pPr>
        <w:pStyle w:val="NoSpacing"/>
        <w:jc w:val="both"/>
        <w:rPr>
          <w:rFonts w:ascii="Times New Roman" w:hAnsi="Times New Roman" w:cs="Times New Roman"/>
          <w:sz w:val="24"/>
          <w:szCs w:val="24"/>
        </w:rPr>
      </w:pPr>
      <w:r>
        <w:rPr>
          <w:rFonts w:ascii="Times New Roman" w:hAnsi="Times New Roman" w:cs="Times New Roman"/>
          <w:sz w:val="24"/>
          <w:szCs w:val="24"/>
        </w:rPr>
        <w:t>33 Bedford Row</w:t>
      </w:r>
    </w:p>
    <w:p w14:paraId="63CB2956" w14:textId="3C310328" w:rsidR="003E7E54" w:rsidRPr="00E371E1" w:rsidRDefault="003E7E54"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London</w:t>
      </w:r>
    </w:p>
    <w:p w14:paraId="3F52ECC0" w14:textId="5E2F3532" w:rsidR="003E7E54" w:rsidRPr="00E371E1" w:rsidRDefault="003E7E54"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WC1R 4JH</w:t>
      </w:r>
    </w:p>
    <w:p w14:paraId="43FA779D" w14:textId="6FF3059D" w:rsidR="00B51AA5" w:rsidRDefault="00CF1232" w:rsidP="00E371E1">
      <w:pPr>
        <w:pStyle w:val="NoSpacing"/>
        <w:jc w:val="both"/>
        <w:rPr>
          <w:rFonts w:ascii="Times New Roman" w:hAnsi="Times New Roman" w:cs="Times New Roman"/>
          <w:sz w:val="24"/>
          <w:szCs w:val="24"/>
        </w:rPr>
      </w:pPr>
      <w:hyperlink r:id="rId11" w:history="1">
        <w:r w:rsidR="00B51AA5" w:rsidRPr="00BF2D6D">
          <w:rPr>
            <w:rStyle w:val="Hyperlink"/>
            <w:rFonts w:ascii="Times New Roman" w:hAnsi="Times New Roman" w:cs="Times New Roman"/>
            <w:sz w:val="24"/>
            <w:szCs w:val="24"/>
          </w:rPr>
          <w:t>a.morgan@33bedfordrow.co.uk</w:t>
        </w:r>
      </w:hyperlink>
    </w:p>
    <w:p w14:paraId="06E81C5D" w14:textId="11531E59" w:rsidR="00593996" w:rsidRPr="00E371E1" w:rsidRDefault="003E7E54" w:rsidP="00E371E1">
      <w:pPr>
        <w:pStyle w:val="NoSpacing"/>
        <w:jc w:val="both"/>
        <w:rPr>
          <w:rFonts w:ascii="Times New Roman" w:hAnsi="Times New Roman" w:cs="Times New Roman"/>
          <w:sz w:val="24"/>
          <w:szCs w:val="24"/>
        </w:rPr>
      </w:pPr>
      <w:r w:rsidRPr="00E371E1">
        <w:rPr>
          <w:rFonts w:ascii="Times New Roman" w:hAnsi="Times New Roman" w:cs="Times New Roman"/>
          <w:sz w:val="24"/>
          <w:szCs w:val="24"/>
        </w:rPr>
        <w:t>2</w:t>
      </w:r>
      <w:r w:rsidR="00F27B4E">
        <w:rPr>
          <w:rFonts w:ascii="Times New Roman" w:hAnsi="Times New Roman" w:cs="Times New Roman"/>
          <w:sz w:val="24"/>
          <w:szCs w:val="24"/>
        </w:rPr>
        <w:t xml:space="preserve">3 </w:t>
      </w:r>
      <w:r w:rsidRPr="00E371E1">
        <w:rPr>
          <w:rFonts w:ascii="Times New Roman" w:hAnsi="Times New Roman" w:cs="Times New Roman"/>
          <w:sz w:val="24"/>
          <w:szCs w:val="24"/>
        </w:rPr>
        <w:t>May 2020</w:t>
      </w:r>
    </w:p>
    <w:sectPr w:rsidR="00593996" w:rsidRPr="00E371E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62597" w14:textId="77777777" w:rsidR="00CF1232" w:rsidRDefault="00CF1232" w:rsidP="00DC725D">
      <w:pPr>
        <w:spacing w:after="0" w:line="240" w:lineRule="auto"/>
      </w:pPr>
      <w:r>
        <w:separator/>
      </w:r>
    </w:p>
  </w:endnote>
  <w:endnote w:type="continuationSeparator" w:id="0">
    <w:p w14:paraId="5212168A" w14:textId="77777777" w:rsidR="00CF1232" w:rsidRDefault="00CF1232" w:rsidP="00DC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897516"/>
      <w:docPartObj>
        <w:docPartGallery w:val="Page Numbers (Bottom of Page)"/>
        <w:docPartUnique/>
      </w:docPartObj>
    </w:sdtPr>
    <w:sdtEndPr>
      <w:rPr>
        <w:noProof/>
      </w:rPr>
    </w:sdtEndPr>
    <w:sdtContent>
      <w:p w14:paraId="0240A2CC" w14:textId="40FC88F6" w:rsidR="00270F35" w:rsidRDefault="00270F35">
        <w:pPr>
          <w:pStyle w:val="Footer"/>
          <w:jc w:val="center"/>
        </w:pPr>
        <w:r>
          <w:fldChar w:fldCharType="begin"/>
        </w:r>
        <w:r>
          <w:instrText xml:space="preserve"> PAGE   \* MERGEFORMAT </w:instrText>
        </w:r>
        <w:r>
          <w:fldChar w:fldCharType="separate"/>
        </w:r>
        <w:r w:rsidR="004E0038">
          <w:rPr>
            <w:noProof/>
          </w:rPr>
          <w:t>1</w:t>
        </w:r>
        <w:r>
          <w:rPr>
            <w:noProof/>
          </w:rPr>
          <w:fldChar w:fldCharType="end"/>
        </w:r>
      </w:p>
    </w:sdtContent>
  </w:sdt>
  <w:p w14:paraId="4009F361" w14:textId="77777777" w:rsidR="00270F35" w:rsidRDefault="00270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78560" w14:textId="77777777" w:rsidR="00CF1232" w:rsidRDefault="00CF1232" w:rsidP="00DC725D">
      <w:pPr>
        <w:spacing w:after="0" w:line="240" w:lineRule="auto"/>
      </w:pPr>
      <w:r>
        <w:separator/>
      </w:r>
    </w:p>
  </w:footnote>
  <w:footnote w:type="continuationSeparator" w:id="0">
    <w:p w14:paraId="5CD15A2F" w14:textId="77777777" w:rsidR="00CF1232" w:rsidRDefault="00CF1232" w:rsidP="00DC725D">
      <w:pPr>
        <w:spacing w:after="0" w:line="240" w:lineRule="auto"/>
      </w:pPr>
      <w:r>
        <w:continuationSeparator/>
      </w:r>
    </w:p>
  </w:footnote>
  <w:footnote w:id="1">
    <w:p w14:paraId="48E0C24E" w14:textId="436EB88A" w:rsidR="00270F35" w:rsidRDefault="00270F35" w:rsidP="002A3639">
      <w:pPr>
        <w:pStyle w:val="FootnoteText"/>
        <w:jc w:val="both"/>
      </w:pPr>
      <w:r>
        <w:rPr>
          <w:rStyle w:val="FootnoteReference"/>
        </w:rPr>
        <w:footnoteRef/>
      </w:r>
      <w:r>
        <w:t xml:space="preserve"> Both these books are available from Amazon.</w:t>
      </w:r>
    </w:p>
  </w:footnote>
  <w:footnote w:id="2">
    <w:p w14:paraId="2AE3B33B" w14:textId="4F5212C3" w:rsidR="003B0CA4" w:rsidRPr="003B0CA4" w:rsidRDefault="003B0CA4" w:rsidP="002A3639">
      <w:pPr>
        <w:pStyle w:val="FootnoteText"/>
        <w:jc w:val="both"/>
      </w:pPr>
      <w:r>
        <w:rPr>
          <w:rStyle w:val="FootnoteReference"/>
        </w:rPr>
        <w:footnoteRef/>
      </w:r>
      <w:r>
        <w:t xml:space="preserve"> </w:t>
      </w:r>
      <w:proofErr w:type="gramStart"/>
      <w:r>
        <w:rPr>
          <w:i/>
          <w:iCs/>
        </w:rPr>
        <w:t xml:space="preserve">Report of the Bloody Sunday Inquiry, </w:t>
      </w:r>
      <w:r>
        <w:t>London, 10 vols, 15 June 2010.</w:t>
      </w:r>
      <w:proofErr w:type="gramEnd"/>
    </w:p>
  </w:footnote>
  <w:footnote w:id="3">
    <w:p w14:paraId="6EBC447A" w14:textId="77777777" w:rsidR="00270F35" w:rsidRDefault="00270F35" w:rsidP="002A3639">
      <w:pPr>
        <w:pStyle w:val="FootnoteText"/>
        <w:jc w:val="both"/>
      </w:pPr>
      <w:r>
        <w:rPr>
          <w:rStyle w:val="FootnoteReference"/>
        </w:rPr>
        <w:footnoteRef/>
      </w:r>
      <w:r>
        <w:t xml:space="preserve"> The figures include: Great Britain; and the rest of Europe.</w:t>
      </w:r>
    </w:p>
  </w:footnote>
  <w:footnote w:id="4">
    <w:p w14:paraId="479BEC0A" w14:textId="4C4A56E5" w:rsidR="00270F35" w:rsidRDefault="00270F35" w:rsidP="002A3639">
      <w:pPr>
        <w:pStyle w:val="FootnoteText"/>
        <w:jc w:val="both"/>
      </w:pPr>
      <w:r>
        <w:rPr>
          <w:rStyle w:val="FootnoteReference"/>
        </w:rPr>
        <w:footnoteRef/>
      </w:r>
      <w:r>
        <w:t xml:space="preserve"> Table 2 on p</w:t>
      </w:r>
      <w:r w:rsidR="009B4EA3">
        <w:t>.</w:t>
      </w:r>
      <w:r>
        <w:t xml:space="preserve"> 1553.</w:t>
      </w:r>
      <w:r w:rsidR="009B4EA3">
        <w:t xml:space="preserve"> </w:t>
      </w:r>
      <w:r>
        <w:t>There are 95 others making up the 3,720 total.</w:t>
      </w:r>
    </w:p>
  </w:footnote>
  <w:footnote w:id="5">
    <w:p w14:paraId="43BB0EE1" w14:textId="651F48F6" w:rsidR="00270F35" w:rsidRDefault="00270F35" w:rsidP="002A3639">
      <w:pPr>
        <w:pStyle w:val="FootnoteText"/>
        <w:jc w:val="both"/>
      </w:pPr>
      <w:r>
        <w:rPr>
          <w:rStyle w:val="FootnoteReference"/>
        </w:rPr>
        <w:footnoteRef/>
      </w:r>
      <w:r>
        <w:t xml:space="preserve"> The figures are respectively 709 and 303 killed, though there are alternatives of 722 and 312.</w:t>
      </w:r>
      <w:r w:rsidR="00924EAF">
        <w:t xml:space="preserve"> </w:t>
      </w:r>
    </w:p>
  </w:footnote>
  <w:footnote w:id="6">
    <w:p w14:paraId="2624E617" w14:textId="6ACF32CA" w:rsidR="00270F35" w:rsidRPr="00BE0A7A" w:rsidRDefault="00270F35" w:rsidP="002A3639">
      <w:pPr>
        <w:pStyle w:val="FootnoteText"/>
        <w:jc w:val="both"/>
      </w:pPr>
      <w:r>
        <w:rPr>
          <w:rStyle w:val="FootnoteReference"/>
        </w:rPr>
        <w:footnoteRef/>
      </w:r>
      <w:r>
        <w:t xml:space="preserve"> This story is recounted (for the first time) in: Austen Morgan, </w:t>
      </w:r>
      <w:r>
        <w:rPr>
          <w:i/>
          <w:iCs/>
        </w:rPr>
        <w:t xml:space="preserve">Tony Blair and the IRA, </w:t>
      </w:r>
      <w:r>
        <w:t>London 2016.</w:t>
      </w:r>
    </w:p>
  </w:footnote>
  <w:footnote w:id="7">
    <w:p w14:paraId="7A36A002" w14:textId="77777777" w:rsidR="00270F35" w:rsidRDefault="00270F35" w:rsidP="002A3639">
      <w:pPr>
        <w:pStyle w:val="FootnoteText"/>
        <w:jc w:val="both"/>
      </w:pPr>
      <w:r>
        <w:rPr>
          <w:rStyle w:val="FootnoteReference"/>
        </w:rPr>
        <w:footnoteRef/>
      </w:r>
      <w:r>
        <w:t xml:space="preserve"> Grenadier Guards.</w:t>
      </w:r>
    </w:p>
  </w:footnote>
  <w:footnote w:id="8">
    <w:p w14:paraId="1CA55780" w14:textId="77777777" w:rsidR="00270F35" w:rsidRDefault="00270F35" w:rsidP="002A3639">
      <w:pPr>
        <w:pStyle w:val="FootnoteText"/>
        <w:jc w:val="both"/>
      </w:pPr>
      <w:r>
        <w:rPr>
          <w:rStyle w:val="FootnoteReference"/>
        </w:rPr>
        <w:footnoteRef/>
      </w:r>
      <w:r>
        <w:t xml:space="preserve"> Because of the Northern Ireland (Emergency Provisions) Act 1973 and the concept of scheduled offences, and under the Northern Ireland (Sentences) Act 1998.</w:t>
      </w:r>
    </w:p>
  </w:footnote>
  <w:footnote w:id="9">
    <w:p w14:paraId="0E1A9D33" w14:textId="7E1E2880" w:rsidR="00270F35" w:rsidRDefault="00270F35" w:rsidP="002A3639">
      <w:pPr>
        <w:pStyle w:val="FootnoteText"/>
        <w:jc w:val="both"/>
      </w:pPr>
      <w:r>
        <w:rPr>
          <w:rStyle w:val="FootnoteReference"/>
        </w:rPr>
        <w:footnoteRef/>
      </w:r>
      <w:r>
        <w:t xml:space="preserve"> This needs to be qualified by a successful civil action by the daughter of one of the dead soldiers: Young v Downey [2019] EWHC 3508 (QB).</w:t>
      </w:r>
      <w:r w:rsidR="009B4EA3">
        <w:t xml:space="preserve"> </w:t>
      </w:r>
      <w:r>
        <w:t>A quantum hearing is forthcoming.</w:t>
      </w:r>
    </w:p>
  </w:footnote>
  <w:footnote w:id="10">
    <w:p w14:paraId="0234C0C7" w14:textId="19B0EACD" w:rsidR="00270F35" w:rsidRDefault="00270F35" w:rsidP="002A3639">
      <w:pPr>
        <w:pStyle w:val="FootnoteText"/>
        <w:jc w:val="both"/>
      </w:pPr>
      <w:r>
        <w:rPr>
          <w:rStyle w:val="FootnoteReference"/>
        </w:rPr>
        <w:footnoteRef/>
      </w:r>
      <w:r>
        <w:t xml:space="preserve"> The cut and paste paras appear in: McKerr, paras 108-15; Kelly, paras 91-8; and Shanaghan, paras 85-92.</w:t>
      </w:r>
    </w:p>
  </w:footnote>
  <w:footnote w:id="11">
    <w:p w14:paraId="38ED43F4" w14:textId="5F09FBE4" w:rsidR="00270F35" w:rsidRDefault="00270F35" w:rsidP="002A3639">
      <w:pPr>
        <w:pStyle w:val="FootnoteText"/>
        <w:jc w:val="both"/>
      </w:pPr>
      <w:r>
        <w:rPr>
          <w:rStyle w:val="FootnoteReference"/>
        </w:rPr>
        <w:footnoteRef/>
      </w:r>
      <w:r>
        <w:t xml:space="preserve"> The judgment cited Nachova v Bulgaria, ECtHR (grand chamber), 6 July 2005, which adopted the Jordan law, slightly modified to fit the facts of two armed police officers killing two unarmed men they were arresting.</w:t>
      </w:r>
      <w:r w:rsidR="009B4EA3">
        <w:t xml:space="preserve"> </w:t>
      </w:r>
    </w:p>
  </w:footnote>
  <w:footnote w:id="12">
    <w:p w14:paraId="5B0D69A5" w14:textId="5A6550CA" w:rsidR="00270F35" w:rsidRDefault="00270F35" w:rsidP="002A3639">
      <w:pPr>
        <w:pStyle w:val="FootnoteText"/>
        <w:jc w:val="both"/>
      </w:pPr>
      <w:r>
        <w:rPr>
          <w:rStyle w:val="FootnoteReference"/>
        </w:rPr>
        <w:footnoteRef/>
      </w:r>
      <w:r>
        <w:t xml:space="preserve"> Para 67.</w:t>
      </w:r>
    </w:p>
  </w:footnote>
  <w:footnote w:id="13">
    <w:p w14:paraId="07E8D30F" w14:textId="70E3DEAB" w:rsidR="00270F35" w:rsidRDefault="00270F35" w:rsidP="002A3639">
      <w:pPr>
        <w:pStyle w:val="FootnoteText"/>
        <w:jc w:val="both"/>
      </w:pPr>
      <w:r>
        <w:rPr>
          <w:rStyle w:val="FootnoteReference"/>
        </w:rPr>
        <w:footnoteRef/>
      </w:r>
      <w:r>
        <w:t xml:space="preserve"> Strasbourg resorted to the UN human rights committee and the Inter-American court of human rights (paras 111-18).</w:t>
      </w:r>
    </w:p>
  </w:footnote>
  <w:footnote w:id="14">
    <w:p w14:paraId="4579B3C8" w14:textId="26C530F1" w:rsidR="00027D61" w:rsidRDefault="00027D61" w:rsidP="002A3639">
      <w:pPr>
        <w:pStyle w:val="FootnoteText"/>
        <w:jc w:val="both"/>
      </w:pPr>
      <w:r>
        <w:rPr>
          <w:rStyle w:val="FootnoteReference"/>
        </w:rPr>
        <w:footnoteRef/>
      </w:r>
      <w:r>
        <w:t xml:space="preserve"> See also Constitutional Reform Act 2005 s 40.</w:t>
      </w:r>
    </w:p>
  </w:footnote>
  <w:footnote w:id="15">
    <w:p w14:paraId="062EBDE4" w14:textId="5D2B9FD4" w:rsidR="000E75C6" w:rsidRDefault="000E75C6" w:rsidP="002A3639">
      <w:pPr>
        <w:pStyle w:val="FootnoteText"/>
        <w:jc w:val="both"/>
      </w:pPr>
      <w:r>
        <w:rPr>
          <w:rStyle w:val="FootnoteReference"/>
        </w:rPr>
        <w:footnoteRef/>
      </w:r>
      <w:r>
        <w:t xml:space="preserve"> </w:t>
      </w:r>
      <w:r w:rsidR="00E54711">
        <w:t xml:space="preserve">Former Supreme Court judge in the case, </w:t>
      </w:r>
      <w:r>
        <w:t xml:space="preserve">Lord Brown </w:t>
      </w:r>
      <w:r w:rsidR="00875F72">
        <w:t>of Eaton-under-Heywood</w:t>
      </w:r>
      <w:r w:rsidR="00E54711">
        <w:t>,</w:t>
      </w:r>
      <w:r w:rsidR="00875F72">
        <w:t xml:space="preserve"> </w:t>
      </w:r>
      <w:r>
        <w:t>subsequently affirmed this position extra-judicially</w:t>
      </w:r>
      <w:r w:rsidR="004574A5">
        <w:t xml:space="preserve"> (his </w:t>
      </w:r>
      <w:r w:rsidR="004574A5">
        <w:rPr>
          <w:i/>
          <w:iCs/>
        </w:rPr>
        <w:t>mea culpa</w:t>
      </w:r>
      <w:r w:rsidR="004574A5">
        <w:t>)</w:t>
      </w:r>
      <w:r>
        <w:t xml:space="preserve">: Policy Exchange, </w:t>
      </w:r>
      <w:r w:rsidR="004574A5">
        <w:t>vote of thanks to John Larkin QC, 12 March 2020.</w:t>
      </w:r>
    </w:p>
  </w:footnote>
  <w:footnote w:id="16">
    <w:p w14:paraId="10E8E8B1" w14:textId="5B9CCB66" w:rsidR="00E62062" w:rsidRDefault="00E62062" w:rsidP="002A3639">
      <w:pPr>
        <w:pStyle w:val="FootnoteText"/>
        <w:jc w:val="both"/>
      </w:pPr>
      <w:r>
        <w:rPr>
          <w:rStyle w:val="FootnoteReference"/>
        </w:rPr>
        <w:footnoteRef/>
      </w:r>
      <w:r>
        <w:t xml:space="preserve"> Lord Phi</w:t>
      </w:r>
      <w:r w:rsidR="00C367B0">
        <w:t>l</w:t>
      </w:r>
      <w:r>
        <w:t>lips stated: ‘I believe that the most significant feature of the decision i</w:t>
      </w:r>
      <w:r w:rsidR="00101CFC">
        <w:t>n</w:t>
      </w:r>
      <w:r>
        <w:t xml:space="preserve"> Silih v Slovenia is that it makes it quite clear that </w:t>
      </w:r>
      <w:r w:rsidR="00101CFC">
        <w:t>the article 2 procedural obligation is not an obligation that continues indefinitely.’ (para 61</w:t>
      </w:r>
      <w:r w:rsidR="002A3639">
        <w:t>)</w:t>
      </w:r>
    </w:p>
  </w:footnote>
  <w:footnote w:id="17">
    <w:p w14:paraId="1082EE97" w14:textId="042CC990" w:rsidR="00E30AB2" w:rsidRDefault="00E30AB2" w:rsidP="002A3639">
      <w:pPr>
        <w:pStyle w:val="FootnoteText"/>
        <w:jc w:val="both"/>
      </w:pPr>
      <w:r>
        <w:rPr>
          <w:rStyle w:val="FootnoteReference"/>
        </w:rPr>
        <w:footnoteRef/>
      </w:r>
      <w:r>
        <w:t xml:space="preserve"> ‘The United Kingdom is not under a continuing obligation under article 2 to carry out an investigation into the deaths over 20 years ago of Martin McCaughey and Dessie Grew.</w:t>
      </w:r>
      <w:r w:rsidR="009B4EA3">
        <w:t xml:space="preserve"> </w:t>
      </w:r>
      <w:r>
        <w:t>But an inquest is going to be held into those deaths.</w:t>
      </w:r>
      <w:r w:rsidR="009B4EA3">
        <w:t xml:space="preserve"> </w:t>
      </w:r>
      <w:r>
        <w:t xml:space="preserve">As a matter of international obligation </w:t>
      </w:r>
      <w:r w:rsidR="00E62062">
        <w:t>it is now apparent that the United Kingdom has come under a free standing obligation under article 2 to ensure that the inquest complies with the procedural requirements of that article, at least in so far as this is possible under domestic law.’ (para 51)</w:t>
      </w:r>
      <w:r w:rsidR="009B4EA3">
        <w:t xml:space="preserve"> </w:t>
      </w:r>
      <w:proofErr w:type="gramStart"/>
      <w:r w:rsidR="00E62062">
        <w:t>See also para 56.</w:t>
      </w:r>
      <w:proofErr w:type="gramEnd"/>
    </w:p>
  </w:footnote>
  <w:footnote w:id="18">
    <w:p w14:paraId="50CABD9F" w14:textId="34C2B404" w:rsidR="0020481B" w:rsidRDefault="0020481B" w:rsidP="002A3639">
      <w:pPr>
        <w:pStyle w:val="FootnoteText"/>
        <w:jc w:val="both"/>
      </w:pPr>
      <w:r>
        <w:rPr>
          <w:rStyle w:val="FootnoteReference"/>
        </w:rPr>
        <w:footnoteRef/>
      </w:r>
      <w:r>
        <w:t xml:space="preserve"> This was the position of Sir James Eadie QC, senior crown counsel, in Finucane (para 111).</w:t>
      </w:r>
    </w:p>
  </w:footnote>
  <w:footnote w:id="19">
    <w:p w14:paraId="328D7FA5" w14:textId="61A0E255" w:rsidR="00CE76D5" w:rsidRPr="00CE76D5" w:rsidRDefault="00CE76D5" w:rsidP="002A3639">
      <w:pPr>
        <w:pStyle w:val="FootnoteText"/>
        <w:jc w:val="both"/>
      </w:pPr>
      <w:r>
        <w:rPr>
          <w:rStyle w:val="FootnoteReference"/>
        </w:rPr>
        <w:footnoteRef/>
      </w:r>
      <w:r>
        <w:t xml:space="preserve"> Rt Hon Sir Desmond de Silva QC, </w:t>
      </w:r>
      <w:r>
        <w:rPr>
          <w:i/>
          <w:iCs/>
        </w:rPr>
        <w:t>The Report of the Patrick Finucane Review</w:t>
      </w:r>
      <w:r>
        <w:t>, HC 802-1 &amp; 2, 12 December 2012 (vol 2 being 329 pages of documentary evidence).</w:t>
      </w:r>
      <w:r w:rsidR="009B4EA3">
        <w:t xml:space="preserve"> </w:t>
      </w:r>
      <w:r>
        <w:t>He concluded: ‘…there is no evidence that Ministers sought to direct the security forces to take a relaxed or permissive approach to loyalist paramilitaries; Minister</w:t>
      </w:r>
      <w:r w:rsidR="00BC1D72">
        <w:t>s</w:t>
      </w:r>
      <w:r>
        <w:t xml:space="preserve"> do not appear to have been aware of Brian Nelson’s targeting activities prior to September 1990; and there is no evidence that Ministers had any foreknowledge of the murder of Patrick Finucane, nor that Ministers were subsequently provided with any intelligence briefing suggesting that the intelligence agencies had foreknowledge of a threat to Mr Finucane’s life.’ (Para 25.33)</w:t>
      </w:r>
      <w:r w:rsidR="009B4EA3">
        <w:t xml:space="preserve"> </w:t>
      </w:r>
      <w:r>
        <w:t xml:space="preserve">Lord Kerr’s assessment </w:t>
      </w:r>
      <w:r w:rsidR="0020481B">
        <w:t xml:space="preserve">of the report </w:t>
      </w:r>
      <w:r>
        <w:t>is at para 134 of the judgment.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B07"/>
    <w:multiLevelType w:val="hybridMultilevel"/>
    <w:tmpl w:val="31501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476DB2"/>
    <w:multiLevelType w:val="hybridMultilevel"/>
    <w:tmpl w:val="2CBEF97A"/>
    <w:lvl w:ilvl="0" w:tplc="83F4A0C8">
      <w:start w:val="1"/>
      <w:numFmt w:val="decimal"/>
      <w:lvlText w:val="%1."/>
      <w:lvlJc w:val="righ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285072"/>
    <w:multiLevelType w:val="hybridMultilevel"/>
    <w:tmpl w:val="F1700D2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nsid w:val="1CD00B41"/>
    <w:multiLevelType w:val="hybridMultilevel"/>
    <w:tmpl w:val="E2324C14"/>
    <w:lvl w:ilvl="0" w:tplc="83F4A0C8">
      <w:start w:val="1"/>
      <w:numFmt w:val="decimal"/>
      <w:lvlText w:val="%1."/>
      <w:lvlJc w:val="righ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723E50"/>
    <w:multiLevelType w:val="hybridMultilevel"/>
    <w:tmpl w:val="E2A8DB26"/>
    <w:lvl w:ilvl="0" w:tplc="83F4A0C8">
      <w:start w:val="1"/>
      <w:numFmt w:val="decimal"/>
      <w:lvlText w:val="%1."/>
      <w:lvlJc w:val="righ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111971"/>
    <w:multiLevelType w:val="hybridMultilevel"/>
    <w:tmpl w:val="6652CAB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nsid w:val="2A750F5E"/>
    <w:multiLevelType w:val="hybridMultilevel"/>
    <w:tmpl w:val="81040592"/>
    <w:lvl w:ilvl="0" w:tplc="83F4A0C8">
      <w:start w:val="1"/>
      <w:numFmt w:val="decimal"/>
      <w:lvlText w:val="%1."/>
      <w:lvlJc w:val="righ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2A5E8B"/>
    <w:multiLevelType w:val="hybridMultilevel"/>
    <w:tmpl w:val="70B66F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nsid w:val="3E702228"/>
    <w:multiLevelType w:val="hybridMultilevel"/>
    <w:tmpl w:val="DBF002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49017062"/>
    <w:multiLevelType w:val="hybridMultilevel"/>
    <w:tmpl w:val="603A1308"/>
    <w:lvl w:ilvl="0" w:tplc="83F4A0C8">
      <w:start w:val="1"/>
      <w:numFmt w:val="decimal"/>
      <w:lvlText w:val="%1."/>
      <w:lvlJc w:val="righ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F60A4B"/>
    <w:multiLevelType w:val="hybridMultilevel"/>
    <w:tmpl w:val="152EF068"/>
    <w:lvl w:ilvl="0" w:tplc="225C74B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225F32"/>
    <w:multiLevelType w:val="hybridMultilevel"/>
    <w:tmpl w:val="70A6E968"/>
    <w:lvl w:ilvl="0" w:tplc="D130CA3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7212FB"/>
    <w:multiLevelType w:val="hybridMultilevel"/>
    <w:tmpl w:val="A394ED0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nsid w:val="7F5F239D"/>
    <w:multiLevelType w:val="hybridMultilevel"/>
    <w:tmpl w:val="1C2E6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13"/>
  </w:num>
  <w:num w:numId="5">
    <w:abstractNumId w:val="3"/>
  </w:num>
  <w:num w:numId="6">
    <w:abstractNumId w:val="2"/>
  </w:num>
  <w:num w:numId="7">
    <w:abstractNumId w:val="9"/>
  </w:num>
  <w:num w:numId="8">
    <w:abstractNumId w:val="12"/>
  </w:num>
  <w:num w:numId="9">
    <w:abstractNumId w:val="5"/>
  </w:num>
  <w:num w:numId="10">
    <w:abstractNumId w:val="6"/>
  </w:num>
  <w:num w:numId="11">
    <w:abstractNumId w:val="0"/>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E5"/>
    <w:rsid w:val="00010593"/>
    <w:rsid w:val="00017D5B"/>
    <w:rsid w:val="00027D61"/>
    <w:rsid w:val="0003449D"/>
    <w:rsid w:val="00056D4F"/>
    <w:rsid w:val="00063251"/>
    <w:rsid w:val="00076676"/>
    <w:rsid w:val="00085F12"/>
    <w:rsid w:val="000C7B3F"/>
    <w:rsid w:val="000D07FA"/>
    <w:rsid w:val="000E75C6"/>
    <w:rsid w:val="000F68CC"/>
    <w:rsid w:val="00101CFC"/>
    <w:rsid w:val="001437BA"/>
    <w:rsid w:val="001643D5"/>
    <w:rsid w:val="0016689F"/>
    <w:rsid w:val="001A09F5"/>
    <w:rsid w:val="001D7E1C"/>
    <w:rsid w:val="001E1F63"/>
    <w:rsid w:val="0020481B"/>
    <w:rsid w:val="00223015"/>
    <w:rsid w:val="00270F35"/>
    <w:rsid w:val="002A3639"/>
    <w:rsid w:val="002D7CBF"/>
    <w:rsid w:val="002F2AA2"/>
    <w:rsid w:val="00332797"/>
    <w:rsid w:val="00347BAE"/>
    <w:rsid w:val="003613F0"/>
    <w:rsid w:val="003826D3"/>
    <w:rsid w:val="003A4FCD"/>
    <w:rsid w:val="003B0CA4"/>
    <w:rsid w:val="003C3D71"/>
    <w:rsid w:val="003E7E54"/>
    <w:rsid w:val="004103D1"/>
    <w:rsid w:val="004176F7"/>
    <w:rsid w:val="00433970"/>
    <w:rsid w:val="00451E42"/>
    <w:rsid w:val="004574A5"/>
    <w:rsid w:val="004629FA"/>
    <w:rsid w:val="00467495"/>
    <w:rsid w:val="00471489"/>
    <w:rsid w:val="0049202A"/>
    <w:rsid w:val="004A1DE3"/>
    <w:rsid w:val="004D2C72"/>
    <w:rsid w:val="004E0038"/>
    <w:rsid w:val="004E29B1"/>
    <w:rsid w:val="004E61FC"/>
    <w:rsid w:val="004E659A"/>
    <w:rsid w:val="004E67DD"/>
    <w:rsid w:val="00511946"/>
    <w:rsid w:val="00521512"/>
    <w:rsid w:val="00536F0A"/>
    <w:rsid w:val="00593996"/>
    <w:rsid w:val="00644832"/>
    <w:rsid w:val="006505CD"/>
    <w:rsid w:val="00701CDE"/>
    <w:rsid w:val="00703980"/>
    <w:rsid w:val="00776346"/>
    <w:rsid w:val="00780EE4"/>
    <w:rsid w:val="007932C4"/>
    <w:rsid w:val="007A572B"/>
    <w:rsid w:val="007C1538"/>
    <w:rsid w:val="0081630F"/>
    <w:rsid w:val="00875F72"/>
    <w:rsid w:val="00880E2F"/>
    <w:rsid w:val="008A65D2"/>
    <w:rsid w:val="008B44E1"/>
    <w:rsid w:val="008E2053"/>
    <w:rsid w:val="00917D69"/>
    <w:rsid w:val="00922608"/>
    <w:rsid w:val="00924EAF"/>
    <w:rsid w:val="00932BB8"/>
    <w:rsid w:val="00953BFB"/>
    <w:rsid w:val="009844E6"/>
    <w:rsid w:val="00993056"/>
    <w:rsid w:val="009B4EA3"/>
    <w:rsid w:val="00A12FFE"/>
    <w:rsid w:val="00A24DBE"/>
    <w:rsid w:val="00A519DB"/>
    <w:rsid w:val="00A83948"/>
    <w:rsid w:val="00AB179C"/>
    <w:rsid w:val="00AB72B3"/>
    <w:rsid w:val="00AC1F5C"/>
    <w:rsid w:val="00B17E77"/>
    <w:rsid w:val="00B2587B"/>
    <w:rsid w:val="00B4042F"/>
    <w:rsid w:val="00B43277"/>
    <w:rsid w:val="00B51AA5"/>
    <w:rsid w:val="00B555BF"/>
    <w:rsid w:val="00B76DB1"/>
    <w:rsid w:val="00BA022D"/>
    <w:rsid w:val="00BB22CD"/>
    <w:rsid w:val="00BB6781"/>
    <w:rsid w:val="00BC1D72"/>
    <w:rsid w:val="00BC71EF"/>
    <w:rsid w:val="00BE076B"/>
    <w:rsid w:val="00BE0A7A"/>
    <w:rsid w:val="00BE211B"/>
    <w:rsid w:val="00BE2CF8"/>
    <w:rsid w:val="00BF671F"/>
    <w:rsid w:val="00C32811"/>
    <w:rsid w:val="00C36506"/>
    <w:rsid w:val="00C367B0"/>
    <w:rsid w:val="00C42A0C"/>
    <w:rsid w:val="00C4486B"/>
    <w:rsid w:val="00C521C9"/>
    <w:rsid w:val="00C769E5"/>
    <w:rsid w:val="00C97980"/>
    <w:rsid w:val="00CA008A"/>
    <w:rsid w:val="00CE76D5"/>
    <w:rsid w:val="00CF1232"/>
    <w:rsid w:val="00CF1E77"/>
    <w:rsid w:val="00CF3795"/>
    <w:rsid w:val="00D001A0"/>
    <w:rsid w:val="00D12AA3"/>
    <w:rsid w:val="00D84600"/>
    <w:rsid w:val="00DA0101"/>
    <w:rsid w:val="00DC725D"/>
    <w:rsid w:val="00DC7F5D"/>
    <w:rsid w:val="00E30AB2"/>
    <w:rsid w:val="00E35406"/>
    <w:rsid w:val="00E364FC"/>
    <w:rsid w:val="00E371E1"/>
    <w:rsid w:val="00E44EFA"/>
    <w:rsid w:val="00E54711"/>
    <w:rsid w:val="00E62062"/>
    <w:rsid w:val="00E753E3"/>
    <w:rsid w:val="00E8042F"/>
    <w:rsid w:val="00EA0122"/>
    <w:rsid w:val="00EB61A3"/>
    <w:rsid w:val="00EB705E"/>
    <w:rsid w:val="00ED3A4B"/>
    <w:rsid w:val="00EE0F34"/>
    <w:rsid w:val="00EF105D"/>
    <w:rsid w:val="00EF7A43"/>
    <w:rsid w:val="00F040F3"/>
    <w:rsid w:val="00F10069"/>
    <w:rsid w:val="00F15260"/>
    <w:rsid w:val="00F265E8"/>
    <w:rsid w:val="00F27B4E"/>
    <w:rsid w:val="00F65F69"/>
    <w:rsid w:val="00F75345"/>
    <w:rsid w:val="00FA513E"/>
    <w:rsid w:val="00FB3A90"/>
    <w:rsid w:val="00FD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25D"/>
  </w:style>
  <w:style w:type="paragraph" w:styleId="Footer">
    <w:name w:val="footer"/>
    <w:basedOn w:val="Normal"/>
    <w:link w:val="FooterChar"/>
    <w:uiPriority w:val="99"/>
    <w:unhideWhenUsed/>
    <w:rsid w:val="00DC7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25D"/>
  </w:style>
  <w:style w:type="paragraph" w:styleId="ListParagraph">
    <w:name w:val="List Paragraph"/>
    <w:basedOn w:val="Normal"/>
    <w:uiPriority w:val="34"/>
    <w:qFormat/>
    <w:rsid w:val="00593996"/>
    <w:pPr>
      <w:ind w:left="720"/>
      <w:contextualSpacing/>
    </w:pPr>
  </w:style>
  <w:style w:type="character" w:styleId="Hyperlink">
    <w:name w:val="Hyperlink"/>
    <w:basedOn w:val="DefaultParagraphFont"/>
    <w:uiPriority w:val="99"/>
    <w:unhideWhenUsed/>
    <w:rsid w:val="00593996"/>
    <w:rPr>
      <w:color w:val="0563C1" w:themeColor="hyperlink"/>
      <w:u w:val="single"/>
    </w:rPr>
  </w:style>
  <w:style w:type="character" w:customStyle="1" w:styleId="UnresolvedMention">
    <w:name w:val="Unresolved Mention"/>
    <w:basedOn w:val="DefaultParagraphFont"/>
    <w:uiPriority w:val="99"/>
    <w:semiHidden/>
    <w:unhideWhenUsed/>
    <w:rsid w:val="00593996"/>
    <w:rPr>
      <w:color w:val="605E5C"/>
      <w:shd w:val="clear" w:color="auto" w:fill="E1DFDD"/>
    </w:rPr>
  </w:style>
  <w:style w:type="character" w:styleId="FollowedHyperlink">
    <w:name w:val="FollowedHyperlink"/>
    <w:basedOn w:val="DefaultParagraphFont"/>
    <w:uiPriority w:val="99"/>
    <w:semiHidden/>
    <w:unhideWhenUsed/>
    <w:rsid w:val="00593996"/>
    <w:rPr>
      <w:color w:val="954F72" w:themeColor="followedHyperlink"/>
      <w:u w:val="single"/>
    </w:rPr>
  </w:style>
  <w:style w:type="paragraph" w:styleId="FootnoteText">
    <w:name w:val="footnote text"/>
    <w:basedOn w:val="Normal"/>
    <w:link w:val="FootnoteTextChar"/>
    <w:uiPriority w:val="99"/>
    <w:semiHidden/>
    <w:unhideWhenUsed/>
    <w:rsid w:val="007039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3980"/>
    <w:rPr>
      <w:sz w:val="20"/>
      <w:szCs w:val="20"/>
    </w:rPr>
  </w:style>
  <w:style w:type="character" w:styleId="FootnoteReference">
    <w:name w:val="footnote reference"/>
    <w:basedOn w:val="DefaultParagraphFont"/>
    <w:uiPriority w:val="99"/>
    <w:semiHidden/>
    <w:unhideWhenUsed/>
    <w:rsid w:val="00703980"/>
    <w:rPr>
      <w:vertAlign w:val="superscript"/>
    </w:rPr>
  </w:style>
  <w:style w:type="paragraph" w:styleId="NoSpacing">
    <w:name w:val="No Spacing"/>
    <w:uiPriority w:val="1"/>
    <w:qFormat/>
    <w:rsid w:val="00E371E1"/>
    <w:pPr>
      <w:spacing w:after="0" w:line="240" w:lineRule="auto"/>
    </w:pPr>
  </w:style>
  <w:style w:type="paragraph" w:styleId="NormalWeb">
    <w:name w:val="Normal (Web)"/>
    <w:basedOn w:val="Normal"/>
    <w:uiPriority w:val="99"/>
    <w:semiHidden/>
    <w:unhideWhenUsed/>
    <w:rsid w:val="00EE0F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5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3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25D"/>
  </w:style>
  <w:style w:type="paragraph" w:styleId="Footer">
    <w:name w:val="footer"/>
    <w:basedOn w:val="Normal"/>
    <w:link w:val="FooterChar"/>
    <w:uiPriority w:val="99"/>
    <w:unhideWhenUsed/>
    <w:rsid w:val="00DC7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25D"/>
  </w:style>
  <w:style w:type="paragraph" w:styleId="ListParagraph">
    <w:name w:val="List Paragraph"/>
    <w:basedOn w:val="Normal"/>
    <w:uiPriority w:val="34"/>
    <w:qFormat/>
    <w:rsid w:val="00593996"/>
    <w:pPr>
      <w:ind w:left="720"/>
      <w:contextualSpacing/>
    </w:pPr>
  </w:style>
  <w:style w:type="character" w:styleId="Hyperlink">
    <w:name w:val="Hyperlink"/>
    <w:basedOn w:val="DefaultParagraphFont"/>
    <w:uiPriority w:val="99"/>
    <w:unhideWhenUsed/>
    <w:rsid w:val="00593996"/>
    <w:rPr>
      <w:color w:val="0563C1" w:themeColor="hyperlink"/>
      <w:u w:val="single"/>
    </w:rPr>
  </w:style>
  <w:style w:type="character" w:customStyle="1" w:styleId="UnresolvedMention">
    <w:name w:val="Unresolved Mention"/>
    <w:basedOn w:val="DefaultParagraphFont"/>
    <w:uiPriority w:val="99"/>
    <w:semiHidden/>
    <w:unhideWhenUsed/>
    <w:rsid w:val="00593996"/>
    <w:rPr>
      <w:color w:val="605E5C"/>
      <w:shd w:val="clear" w:color="auto" w:fill="E1DFDD"/>
    </w:rPr>
  </w:style>
  <w:style w:type="character" w:styleId="FollowedHyperlink">
    <w:name w:val="FollowedHyperlink"/>
    <w:basedOn w:val="DefaultParagraphFont"/>
    <w:uiPriority w:val="99"/>
    <w:semiHidden/>
    <w:unhideWhenUsed/>
    <w:rsid w:val="00593996"/>
    <w:rPr>
      <w:color w:val="954F72" w:themeColor="followedHyperlink"/>
      <w:u w:val="single"/>
    </w:rPr>
  </w:style>
  <w:style w:type="paragraph" w:styleId="FootnoteText">
    <w:name w:val="footnote text"/>
    <w:basedOn w:val="Normal"/>
    <w:link w:val="FootnoteTextChar"/>
    <w:uiPriority w:val="99"/>
    <w:semiHidden/>
    <w:unhideWhenUsed/>
    <w:rsid w:val="007039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3980"/>
    <w:rPr>
      <w:sz w:val="20"/>
      <w:szCs w:val="20"/>
    </w:rPr>
  </w:style>
  <w:style w:type="character" w:styleId="FootnoteReference">
    <w:name w:val="footnote reference"/>
    <w:basedOn w:val="DefaultParagraphFont"/>
    <w:uiPriority w:val="99"/>
    <w:semiHidden/>
    <w:unhideWhenUsed/>
    <w:rsid w:val="00703980"/>
    <w:rPr>
      <w:vertAlign w:val="superscript"/>
    </w:rPr>
  </w:style>
  <w:style w:type="paragraph" w:styleId="NoSpacing">
    <w:name w:val="No Spacing"/>
    <w:uiPriority w:val="1"/>
    <w:qFormat/>
    <w:rsid w:val="00E371E1"/>
    <w:pPr>
      <w:spacing w:after="0" w:line="240" w:lineRule="auto"/>
    </w:pPr>
  </w:style>
  <w:style w:type="paragraph" w:styleId="NormalWeb">
    <w:name w:val="Normal (Web)"/>
    <w:basedOn w:val="Normal"/>
    <w:uiPriority w:val="99"/>
    <w:semiHidden/>
    <w:unhideWhenUsed/>
    <w:rsid w:val="00EE0F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5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658185">
      <w:bodyDiv w:val="1"/>
      <w:marLeft w:val="0"/>
      <w:marRight w:val="0"/>
      <w:marTop w:val="0"/>
      <w:marBottom w:val="0"/>
      <w:divBdr>
        <w:top w:val="none" w:sz="0" w:space="0" w:color="auto"/>
        <w:left w:val="none" w:sz="0" w:space="0" w:color="auto"/>
        <w:bottom w:val="none" w:sz="0" w:space="0" w:color="auto"/>
        <w:right w:val="none" w:sz="0" w:space="0" w:color="auto"/>
      </w:divBdr>
    </w:div>
    <w:div w:id="18263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organ@33bedfordrow.co.uk" TargetMode="External"/><Relationship Id="rId5" Type="http://schemas.openxmlformats.org/officeDocument/2006/relationships/settings" Target="settings.xml"/><Relationship Id="rId10" Type="http://schemas.openxmlformats.org/officeDocument/2006/relationships/hyperlink" Target="https://www.austenmorgan.com/wp-content/uploads/2019/07/Duty-to-undertake-effective-investigation.pdf-04.07.2019.pdf" TargetMode="External"/><Relationship Id="rId4" Type="http://schemas.microsoft.com/office/2007/relationships/stylesWithEffects" Target="stylesWithEffects.xml"/><Relationship Id="rId9" Type="http://schemas.openxmlformats.org/officeDocument/2006/relationships/hyperlink" Target="https://search.coe.int/cm/Pages/result_details.aspx?Reference=DH-DD(2020)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222E2-641B-4D92-AA70-A50DB673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5119</Words>
  <Characters>29183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Austen Morgan</dc:creator>
  <cp:lastModifiedBy>0</cp:lastModifiedBy>
  <cp:revision>27</cp:revision>
  <cp:lastPrinted>2020-09-04T14:19:00Z</cp:lastPrinted>
  <dcterms:created xsi:type="dcterms:W3CDTF">2020-05-27T10:12:00Z</dcterms:created>
  <dcterms:modified xsi:type="dcterms:W3CDTF">2021-05-03T11:44:00Z</dcterms:modified>
</cp:coreProperties>
</file>