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73D61" w14:textId="77777777" w:rsidR="007A46B7" w:rsidRDefault="009E47E4">
      <w:pPr>
        <w:pStyle w:val="BodyText"/>
        <w:ind w:left="4266"/>
        <w:rPr>
          <w:rFonts w:ascii="Times New Roman"/>
          <w:sz w:val="20"/>
        </w:rPr>
      </w:pPr>
      <w:bookmarkStart w:id="0" w:name="_GoBack"/>
      <w:bookmarkEnd w:id="0"/>
      <w:r>
        <w:rPr>
          <w:rFonts w:ascii="Times New Roman"/>
          <w:noProof/>
          <w:sz w:val="20"/>
          <w:lang w:eastAsia="en-GB"/>
        </w:rPr>
        <w:drawing>
          <wp:inline distT="0" distB="0" distL="0" distR="0" wp14:anchorId="384753DF" wp14:editId="236955AD">
            <wp:extent cx="1731633" cy="371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31633" cy="371475"/>
                    </a:xfrm>
                    <a:prstGeom prst="rect">
                      <a:avLst/>
                    </a:prstGeom>
                  </pic:spPr>
                </pic:pic>
              </a:graphicData>
            </a:graphic>
          </wp:inline>
        </w:drawing>
      </w:r>
    </w:p>
    <w:p w14:paraId="7E1A7705" w14:textId="77777777" w:rsidR="007A46B7" w:rsidRDefault="007A46B7">
      <w:pPr>
        <w:pStyle w:val="BodyText"/>
        <w:spacing w:before="3"/>
        <w:rPr>
          <w:rFonts w:ascii="Times New Roman"/>
          <w:sz w:val="8"/>
        </w:rPr>
      </w:pPr>
    </w:p>
    <w:p w14:paraId="5854F147" w14:textId="77777777" w:rsidR="007A46B7" w:rsidRDefault="009E47E4">
      <w:pPr>
        <w:pStyle w:val="BodyText"/>
        <w:ind w:left="4258"/>
        <w:rPr>
          <w:rFonts w:ascii="Times New Roman"/>
          <w:sz w:val="20"/>
        </w:rPr>
      </w:pPr>
      <w:r>
        <w:rPr>
          <w:rFonts w:ascii="Times New Roman"/>
          <w:noProof/>
          <w:sz w:val="20"/>
          <w:lang w:eastAsia="en-GB"/>
        </w:rPr>
        <w:drawing>
          <wp:inline distT="0" distB="0" distL="0" distR="0" wp14:anchorId="1B088226" wp14:editId="3075BD67">
            <wp:extent cx="3320834" cy="7191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320834" cy="719137"/>
                    </a:xfrm>
                    <a:prstGeom prst="rect">
                      <a:avLst/>
                    </a:prstGeom>
                  </pic:spPr>
                </pic:pic>
              </a:graphicData>
            </a:graphic>
          </wp:inline>
        </w:drawing>
      </w:r>
    </w:p>
    <w:p w14:paraId="4DB91160" w14:textId="77777777" w:rsidR="0020666A" w:rsidRDefault="0020666A">
      <w:pPr>
        <w:pStyle w:val="BodyText"/>
        <w:ind w:left="4258"/>
        <w:rPr>
          <w:rFonts w:ascii="Times New Roman"/>
          <w:sz w:val="20"/>
        </w:rPr>
      </w:pPr>
    </w:p>
    <w:p w14:paraId="6F733303" w14:textId="1C9122C6" w:rsidR="0020666A" w:rsidRDefault="0020666A">
      <w:pPr>
        <w:pStyle w:val="BodyText"/>
        <w:ind w:left="4258"/>
        <w:rPr>
          <w:rFonts w:ascii="Times New Roman"/>
          <w:sz w:val="20"/>
        </w:rPr>
      </w:pPr>
    </w:p>
    <w:p w14:paraId="06EFC998" w14:textId="38158085" w:rsidR="003D3AAC" w:rsidRDefault="003D3AAC">
      <w:pPr>
        <w:pStyle w:val="BodyText"/>
        <w:ind w:left="4258"/>
        <w:rPr>
          <w:rFonts w:ascii="Times New Roman"/>
          <w:sz w:val="20"/>
        </w:rPr>
      </w:pPr>
    </w:p>
    <w:p w14:paraId="2BF03FEA" w14:textId="77777777" w:rsidR="003D3AAC" w:rsidRDefault="003D3AAC">
      <w:pPr>
        <w:pStyle w:val="BodyText"/>
        <w:ind w:left="4258"/>
        <w:rPr>
          <w:rFonts w:ascii="Times New Roman"/>
          <w:sz w:val="20"/>
        </w:rPr>
      </w:pPr>
    </w:p>
    <w:p w14:paraId="3178E22B" w14:textId="77777777" w:rsidR="003C4B25" w:rsidRDefault="003C4B25">
      <w:pPr>
        <w:pStyle w:val="BodyText"/>
        <w:rPr>
          <w:rFonts w:ascii="Times New Roman"/>
          <w:sz w:val="20"/>
        </w:rPr>
      </w:pPr>
    </w:p>
    <w:p w14:paraId="05894AA4" w14:textId="2C70A355" w:rsidR="004661CD" w:rsidRDefault="00D16CB0" w:rsidP="00056307">
      <w:pPr>
        <w:pStyle w:val="BodyText"/>
        <w:ind w:left="-340" w:right="680"/>
        <w:contextualSpacing/>
        <w:jc w:val="center"/>
        <w:rPr>
          <w:rFonts w:ascii="Arial" w:hAnsi="Arial" w:cs="Arial"/>
          <w:b/>
          <w:bCs/>
          <w:sz w:val="24"/>
          <w:szCs w:val="24"/>
          <w:u w:val="single"/>
        </w:rPr>
      </w:pPr>
      <w:r w:rsidRPr="00D16CB0">
        <w:rPr>
          <w:rFonts w:ascii="Arial" w:hAnsi="Arial" w:cs="Arial"/>
          <w:b/>
          <w:bCs/>
          <w:sz w:val="24"/>
          <w:szCs w:val="24"/>
          <w:u w:val="single"/>
        </w:rPr>
        <w:t xml:space="preserve">Northern Ireland </w:t>
      </w:r>
      <w:r w:rsidR="0096129B">
        <w:rPr>
          <w:rFonts w:ascii="Arial" w:hAnsi="Arial" w:cs="Arial"/>
          <w:b/>
          <w:bCs/>
          <w:sz w:val="24"/>
          <w:szCs w:val="24"/>
          <w:u w:val="single"/>
        </w:rPr>
        <w:t xml:space="preserve">Affairs Committee - Consultation on </w:t>
      </w:r>
      <w:r w:rsidRPr="00D16CB0">
        <w:rPr>
          <w:rFonts w:ascii="Arial" w:hAnsi="Arial" w:cs="Arial"/>
          <w:b/>
          <w:bCs/>
          <w:sz w:val="24"/>
          <w:szCs w:val="24"/>
          <w:u w:val="single"/>
        </w:rPr>
        <w:t>Legacy Proposals 2020</w:t>
      </w:r>
    </w:p>
    <w:p w14:paraId="3F809DA9" w14:textId="77777777" w:rsidR="00D16CB0" w:rsidRPr="00D16CB0" w:rsidRDefault="00D16CB0" w:rsidP="00056307">
      <w:pPr>
        <w:pStyle w:val="BodyText"/>
        <w:ind w:left="-340" w:right="680"/>
        <w:contextualSpacing/>
        <w:jc w:val="center"/>
        <w:rPr>
          <w:rFonts w:ascii="Arial" w:hAnsi="Arial" w:cs="Arial"/>
          <w:b/>
          <w:bCs/>
          <w:sz w:val="24"/>
          <w:szCs w:val="24"/>
          <w:u w:val="single"/>
        </w:rPr>
      </w:pPr>
    </w:p>
    <w:p w14:paraId="50E5836D" w14:textId="485A7A20" w:rsidR="00333482" w:rsidRDefault="00333482" w:rsidP="00056307">
      <w:pPr>
        <w:pStyle w:val="NormalWeb"/>
        <w:ind w:left="-340" w:right="680"/>
        <w:contextualSpacing/>
        <w:jc w:val="both"/>
        <w:rPr>
          <w:rFonts w:ascii="Arial" w:hAnsi="Arial" w:cs="Arial"/>
          <w:u w:val="single"/>
        </w:rPr>
      </w:pPr>
    </w:p>
    <w:p w14:paraId="520BED59" w14:textId="42842DF1" w:rsidR="00A337E9" w:rsidRDefault="00A337E9" w:rsidP="00056307">
      <w:pPr>
        <w:pStyle w:val="NormalWeb"/>
        <w:ind w:left="-340" w:right="680"/>
        <w:contextualSpacing/>
        <w:jc w:val="both"/>
        <w:rPr>
          <w:rFonts w:ascii="Arial" w:hAnsi="Arial" w:cs="Arial"/>
          <w:u w:val="single"/>
        </w:rPr>
      </w:pPr>
      <w:r>
        <w:rPr>
          <w:rFonts w:ascii="Arial" w:hAnsi="Arial" w:cs="Arial"/>
          <w:u w:val="single"/>
        </w:rPr>
        <w:t>Table of Contents</w:t>
      </w:r>
    </w:p>
    <w:p w14:paraId="6493DD11" w14:textId="1794BD8E" w:rsidR="00A337E9" w:rsidRDefault="00A337E9" w:rsidP="00056307">
      <w:pPr>
        <w:pStyle w:val="NormalWeb"/>
        <w:ind w:left="-340" w:right="680"/>
        <w:contextualSpacing/>
        <w:jc w:val="both"/>
        <w:rPr>
          <w:rFonts w:ascii="Arial" w:hAnsi="Arial" w:cs="Arial"/>
          <w:u w:val="single"/>
        </w:rPr>
      </w:pPr>
    </w:p>
    <w:p w14:paraId="4038A509" w14:textId="77777777" w:rsidR="00A337E9" w:rsidRDefault="00A337E9" w:rsidP="00056307">
      <w:pPr>
        <w:pStyle w:val="NormalWeb"/>
        <w:ind w:left="-340" w:right="680"/>
        <w:contextualSpacing/>
        <w:jc w:val="both"/>
        <w:rPr>
          <w:rFonts w:ascii="Arial" w:hAnsi="Arial" w:cs="Arial"/>
          <w:u w:val="single"/>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560"/>
      </w:tblGrid>
      <w:tr w:rsidR="00A337E9" w14:paraId="3A9153A5" w14:textId="77777777" w:rsidTr="00015A73">
        <w:tc>
          <w:tcPr>
            <w:tcW w:w="7797" w:type="dxa"/>
          </w:tcPr>
          <w:p w14:paraId="4D15E647" w14:textId="77777777" w:rsidR="00A337E9" w:rsidRDefault="00A337E9" w:rsidP="00A337E9">
            <w:pPr>
              <w:pStyle w:val="NormalWeb"/>
              <w:spacing w:line="480" w:lineRule="auto"/>
              <w:ind w:right="680"/>
              <w:contextualSpacing/>
              <w:jc w:val="both"/>
              <w:rPr>
                <w:rFonts w:ascii="Arial" w:hAnsi="Arial" w:cs="Arial"/>
                <w:u w:val="single"/>
              </w:rPr>
            </w:pPr>
          </w:p>
        </w:tc>
        <w:tc>
          <w:tcPr>
            <w:tcW w:w="1560" w:type="dxa"/>
          </w:tcPr>
          <w:p w14:paraId="5C300DE1" w14:textId="2FFC23CE" w:rsidR="00A337E9" w:rsidRPr="00A337E9" w:rsidRDefault="00A337E9" w:rsidP="00B53E93">
            <w:pPr>
              <w:pStyle w:val="NormalWeb"/>
              <w:spacing w:line="480" w:lineRule="auto"/>
              <w:ind w:right="680"/>
              <w:contextualSpacing/>
              <w:jc w:val="center"/>
              <w:rPr>
                <w:rFonts w:ascii="Arial" w:hAnsi="Arial" w:cs="Arial"/>
              </w:rPr>
            </w:pPr>
            <w:r w:rsidRPr="00A337E9">
              <w:rPr>
                <w:rFonts w:ascii="Arial" w:hAnsi="Arial" w:cs="Arial"/>
              </w:rPr>
              <w:t>Page</w:t>
            </w:r>
          </w:p>
        </w:tc>
      </w:tr>
      <w:tr w:rsidR="00A337E9" w14:paraId="7455392C" w14:textId="77777777" w:rsidTr="00015A73">
        <w:tc>
          <w:tcPr>
            <w:tcW w:w="7797" w:type="dxa"/>
          </w:tcPr>
          <w:p w14:paraId="7442B1C9" w14:textId="77777777" w:rsidR="00A337E9" w:rsidRDefault="00A337E9" w:rsidP="00A337E9">
            <w:pPr>
              <w:pStyle w:val="NormalWeb"/>
              <w:spacing w:line="480" w:lineRule="auto"/>
              <w:ind w:right="680"/>
              <w:contextualSpacing/>
              <w:jc w:val="both"/>
              <w:rPr>
                <w:rFonts w:ascii="Arial" w:hAnsi="Arial" w:cs="Arial"/>
                <w:u w:val="single"/>
              </w:rPr>
            </w:pPr>
          </w:p>
        </w:tc>
        <w:tc>
          <w:tcPr>
            <w:tcW w:w="1560" w:type="dxa"/>
          </w:tcPr>
          <w:p w14:paraId="3DAB6BD9" w14:textId="77777777" w:rsidR="00A337E9" w:rsidRDefault="00A337E9" w:rsidP="00B53E93">
            <w:pPr>
              <w:pStyle w:val="NormalWeb"/>
              <w:spacing w:line="480" w:lineRule="auto"/>
              <w:ind w:right="680"/>
              <w:contextualSpacing/>
              <w:jc w:val="center"/>
              <w:rPr>
                <w:rFonts w:ascii="Arial" w:hAnsi="Arial" w:cs="Arial"/>
                <w:u w:val="single"/>
              </w:rPr>
            </w:pPr>
          </w:p>
        </w:tc>
      </w:tr>
      <w:tr w:rsidR="00A337E9" w14:paraId="52ECC389" w14:textId="77777777" w:rsidTr="00015A73">
        <w:tc>
          <w:tcPr>
            <w:tcW w:w="7797" w:type="dxa"/>
          </w:tcPr>
          <w:p w14:paraId="047F48EB" w14:textId="138A86CA" w:rsidR="00A337E9" w:rsidRPr="00A337E9" w:rsidRDefault="00A337E9" w:rsidP="00A337E9">
            <w:pPr>
              <w:pStyle w:val="NormalWeb"/>
              <w:spacing w:line="480" w:lineRule="auto"/>
              <w:ind w:right="680"/>
              <w:contextualSpacing/>
              <w:jc w:val="both"/>
              <w:rPr>
                <w:rFonts w:ascii="Arial" w:hAnsi="Arial" w:cs="Arial"/>
              </w:rPr>
            </w:pPr>
            <w:r w:rsidRPr="00A337E9">
              <w:rPr>
                <w:rFonts w:ascii="Arial" w:hAnsi="Arial" w:cs="Arial"/>
              </w:rPr>
              <w:t>Executive Summary</w:t>
            </w:r>
          </w:p>
        </w:tc>
        <w:tc>
          <w:tcPr>
            <w:tcW w:w="1560" w:type="dxa"/>
          </w:tcPr>
          <w:p w14:paraId="221D23A2" w14:textId="4EF7BF6F" w:rsidR="00A337E9" w:rsidRPr="00B53E93" w:rsidRDefault="00B53E93" w:rsidP="00B53E93">
            <w:pPr>
              <w:pStyle w:val="NormalWeb"/>
              <w:spacing w:line="480" w:lineRule="auto"/>
              <w:ind w:right="680"/>
              <w:contextualSpacing/>
              <w:jc w:val="center"/>
              <w:rPr>
                <w:rFonts w:ascii="Arial" w:hAnsi="Arial" w:cs="Arial"/>
              </w:rPr>
            </w:pPr>
            <w:r w:rsidRPr="00B53E93">
              <w:rPr>
                <w:rFonts w:ascii="Arial" w:hAnsi="Arial" w:cs="Arial"/>
              </w:rPr>
              <w:t>2</w:t>
            </w:r>
          </w:p>
        </w:tc>
      </w:tr>
      <w:tr w:rsidR="00A337E9" w14:paraId="19027384" w14:textId="77777777" w:rsidTr="00015A73">
        <w:tc>
          <w:tcPr>
            <w:tcW w:w="7797" w:type="dxa"/>
          </w:tcPr>
          <w:p w14:paraId="601635C2" w14:textId="0C7030D1" w:rsidR="00A337E9" w:rsidRPr="00A337E9" w:rsidRDefault="00A337E9" w:rsidP="00A337E9">
            <w:pPr>
              <w:pStyle w:val="NormalWeb"/>
              <w:spacing w:line="480" w:lineRule="auto"/>
              <w:ind w:right="680"/>
              <w:contextualSpacing/>
              <w:jc w:val="both"/>
              <w:rPr>
                <w:rFonts w:ascii="Arial" w:hAnsi="Arial" w:cs="Arial"/>
              </w:rPr>
            </w:pPr>
            <w:r>
              <w:rPr>
                <w:rFonts w:ascii="Arial" w:hAnsi="Arial" w:cs="Arial"/>
              </w:rPr>
              <w:t>Introduction</w:t>
            </w:r>
          </w:p>
        </w:tc>
        <w:tc>
          <w:tcPr>
            <w:tcW w:w="1560" w:type="dxa"/>
          </w:tcPr>
          <w:p w14:paraId="4F194F42" w14:textId="61605A2D" w:rsidR="00A337E9" w:rsidRPr="00B53E93" w:rsidRDefault="003056EF" w:rsidP="00B53E93">
            <w:pPr>
              <w:pStyle w:val="NormalWeb"/>
              <w:spacing w:line="480" w:lineRule="auto"/>
              <w:ind w:right="680"/>
              <w:contextualSpacing/>
              <w:jc w:val="center"/>
              <w:rPr>
                <w:rFonts w:ascii="Arial" w:hAnsi="Arial" w:cs="Arial"/>
              </w:rPr>
            </w:pPr>
            <w:r>
              <w:rPr>
                <w:rFonts w:ascii="Arial" w:hAnsi="Arial" w:cs="Arial"/>
              </w:rPr>
              <w:t>2</w:t>
            </w:r>
          </w:p>
        </w:tc>
      </w:tr>
      <w:tr w:rsidR="00A337E9" w14:paraId="7A5AFEFB" w14:textId="77777777" w:rsidTr="00015A73">
        <w:tc>
          <w:tcPr>
            <w:tcW w:w="7797" w:type="dxa"/>
          </w:tcPr>
          <w:p w14:paraId="016157C7" w14:textId="77777777" w:rsidR="00A337E9" w:rsidRDefault="00FC5BD3" w:rsidP="00FC5BD3">
            <w:pPr>
              <w:pStyle w:val="NormalWeb"/>
              <w:ind w:right="680"/>
              <w:contextualSpacing/>
              <w:jc w:val="both"/>
              <w:rPr>
                <w:rFonts w:ascii="Arial" w:hAnsi="Arial" w:cs="Arial"/>
                <w:i/>
                <w:iCs/>
              </w:rPr>
            </w:pPr>
            <w:r w:rsidRPr="00FC5BD3">
              <w:rPr>
                <w:rFonts w:ascii="Arial" w:hAnsi="Arial" w:cs="Arial"/>
                <w:i/>
                <w:iCs/>
              </w:rPr>
              <w:t>Whether the Government’s proposed approach will meet the needs of victims, survivors and their families;</w:t>
            </w:r>
          </w:p>
          <w:p w14:paraId="0E164EF2" w14:textId="5D14C89F" w:rsidR="00FC5BD3" w:rsidRPr="00FC5BD3" w:rsidRDefault="00FC5BD3" w:rsidP="00FC5BD3">
            <w:pPr>
              <w:pStyle w:val="NormalWeb"/>
              <w:ind w:right="680"/>
              <w:contextualSpacing/>
              <w:jc w:val="both"/>
              <w:rPr>
                <w:rFonts w:ascii="Arial" w:hAnsi="Arial" w:cs="Arial"/>
                <w:i/>
                <w:iCs/>
              </w:rPr>
            </w:pPr>
          </w:p>
        </w:tc>
        <w:tc>
          <w:tcPr>
            <w:tcW w:w="1560" w:type="dxa"/>
          </w:tcPr>
          <w:p w14:paraId="08DF520A" w14:textId="487048B0" w:rsidR="00A337E9" w:rsidRPr="00B53E93" w:rsidRDefault="003056EF" w:rsidP="00B53E93">
            <w:pPr>
              <w:pStyle w:val="NormalWeb"/>
              <w:spacing w:line="480" w:lineRule="auto"/>
              <w:ind w:right="680"/>
              <w:contextualSpacing/>
              <w:jc w:val="center"/>
              <w:rPr>
                <w:rFonts w:ascii="Arial" w:hAnsi="Arial" w:cs="Arial"/>
              </w:rPr>
            </w:pPr>
            <w:r>
              <w:rPr>
                <w:rFonts w:ascii="Arial" w:hAnsi="Arial" w:cs="Arial"/>
              </w:rPr>
              <w:t>4</w:t>
            </w:r>
          </w:p>
        </w:tc>
      </w:tr>
      <w:tr w:rsidR="00A337E9" w14:paraId="103CC217" w14:textId="77777777" w:rsidTr="00015A73">
        <w:tc>
          <w:tcPr>
            <w:tcW w:w="7797" w:type="dxa"/>
          </w:tcPr>
          <w:p w14:paraId="2553739F" w14:textId="77777777" w:rsidR="00A337E9" w:rsidRDefault="00FC5BD3" w:rsidP="00FC5BD3">
            <w:pPr>
              <w:pStyle w:val="NormalWeb"/>
              <w:ind w:right="680"/>
              <w:contextualSpacing/>
              <w:jc w:val="both"/>
              <w:rPr>
                <w:rFonts w:ascii="Arial" w:hAnsi="Arial" w:cs="Arial"/>
                <w:i/>
                <w:iCs/>
              </w:rPr>
            </w:pPr>
            <w:r w:rsidRPr="00FC5BD3">
              <w:rPr>
                <w:rFonts w:ascii="Arial" w:hAnsi="Arial" w:cs="Arial"/>
                <w:i/>
                <w:iCs/>
              </w:rPr>
              <w:t>What steps the Government can take to ensure that the proposed new legacy body is independent balanced and open, and complies with the Belfast/Good Friday Agreement and ECHR commitments;</w:t>
            </w:r>
          </w:p>
          <w:p w14:paraId="0FF4C99D" w14:textId="0E7122DF" w:rsidR="00FC5BD3" w:rsidRPr="00FC5BD3" w:rsidRDefault="00FC5BD3" w:rsidP="00FC5BD3">
            <w:pPr>
              <w:pStyle w:val="NormalWeb"/>
              <w:ind w:right="680"/>
              <w:contextualSpacing/>
              <w:jc w:val="both"/>
              <w:rPr>
                <w:rFonts w:ascii="Arial" w:hAnsi="Arial" w:cs="Arial"/>
                <w:i/>
                <w:iCs/>
              </w:rPr>
            </w:pPr>
          </w:p>
        </w:tc>
        <w:tc>
          <w:tcPr>
            <w:tcW w:w="1560" w:type="dxa"/>
          </w:tcPr>
          <w:p w14:paraId="3CE74B33" w14:textId="16A167B3" w:rsidR="00A337E9" w:rsidRPr="00B53E93" w:rsidRDefault="003056EF" w:rsidP="00B53E93">
            <w:pPr>
              <w:pStyle w:val="NormalWeb"/>
              <w:spacing w:line="480" w:lineRule="auto"/>
              <w:ind w:right="680"/>
              <w:contextualSpacing/>
              <w:jc w:val="center"/>
              <w:rPr>
                <w:rFonts w:ascii="Arial" w:hAnsi="Arial" w:cs="Arial"/>
              </w:rPr>
            </w:pPr>
            <w:r>
              <w:rPr>
                <w:rFonts w:ascii="Arial" w:hAnsi="Arial" w:cs="Arial"/>
              </w:rPr>
              <w:t>5</w:t>
            </w:r>
          </w:p>
        </w:tc>
      </w:tr>
      <w:tr w:rsidR="00A337E9" w14:paraId="67901B35" w14:textId="77777777" w:rsidTr="00015A73">
        <w:tc>
          <w:tcPr>
            <w:tcW w:w="7797" w:type="dxa"/>
          </w:tcPr>
          <w:p w14:paraId="75887EAC" w14:textId="77777777" w:rsidR="00A337E9" w:rsidRDefault="00FC5BD3" w:rsidP="00FC5BD3">
            <w:pPr>
              <w:pStyle w:val="NormalWeb"/>
              <w:ind w:right="680"/>
              <w:contextualSpacing/>
              <w:jc w:val="both"/>
              <w:rPr>
                <w:rFonts w:ascii="Arial" w:hAnsi="Arial" w:cs="Arial"/>
                <w:i/>
                <w:iCs/>
              </w:rPr>
            </w:pPr>
            <w:r w:rsidRPr="00FC5BD3">
              <w:rPr>
                <w:rFonts w:ascii="Arial" w:hAnsi="Arial" w:cs="Arial"/>
                <w:i/>
                <w:iCs/>
              </w:rPr>
              <w:t>The differences between the Government’s new proposals and the draft Stormont House Agreement Bill;</w:t>
            </w:r>
          </w:p>
          <w:p w14:paraId="05EEA8AD" w14:textId="2036E8AA" w:rsidR="00FC5BD3" w:rsidRPr="00FC5BD3" w:rsidRDefault="00FC5BD3" w:rsidP="00FC5BD3">
            <w:pPr>
              <w:pStyle w:val="NormalWeb"/>
              <w:ind w:right="680"/>
              <w:contextualSpacing/>
              <w:jc w:val="both"/>
              <w:rPr>
                <w:rFonts w:ascii="Arial" w:hAnsi="Arial" w:cs="Arial"/>
                <w:i/>
                <w:iCs/>
              </w:rPr>
            </w:pPr>
          </w:p>
        </w:tc>
        <w:tc>
          <w:tcPr>
            <w:tcW w:w="1560" w:type="dxa"/>
          </w:tcPr>
          <w:p w14:paraId="2FC9B0CB" w14:textId="601FB56C" w:rsidR="00A337E9" w:rsidRPr="006934AE" w:rsidRDefault="006934AE" w:rsidP="00B53E93">
            <w:pPr>
              <w:pStyle w:val="NormalWeb"/>
              <w:spacing w:line="480" w:lineRule="auto"/>
              <w:ind w:right="680"/>
              <w:contextualSpacing/>
              <w:jc w:val="center"/>
              <w:rPr>
                <w:rFonts w:ascii="Arial" w:hAnsi="Arial" w:cs="Arial"/>
                <w:highlight w:val="yellow"/>
              </w:rPr>
            </w:pPr>
            <w:r w:rsidRPr="00CB3FE2">
              <w:rPr>
                <w:rFonts w:ascii="Arial" w:hAnsi="Arial" w:cs="Arial"/>
              </w:rPr>
              <w:t>8</w:t>
            </w:r>
          </w:p>
        </w:tc>
      </w:tr>
      <w:tr w:rsidR="00A337E9" w14:paraId="2F8F3028" w14:textId="77777777" w:rsidTr="00015A73">
        <w:tc>
          <w:tcPr>
            <w:tcW w:w="7797" w:type="dxa"/>
          </w:tcPr>
          <w:p w14:paraId="75007C0B" w14:textId="77777777" w:rsidR="00FC5BD3" w:rsidRDefault="003D3AAC" w:rsidP="003D3AAC">
            <w:pPr>
              <w:pStyle w:val="NormalWeb"/>
              <w:ind w:right="680"/>
              <w:contextualSpacing/>
              <w:jc w:val="both"/>
              <w:rPr>
                <w:rFonts w:ascii="Arial" w:hAnsi="Arial" w:cs="Arial"/>
                <w:i/>
                <w:iCs/>
              </w:rPr>
            </w:pPr>
            <w:r w:rsidRPr="003D3AAC">
              <w:rPr>
                <w:rFonts w:ascii="Arial" w:hAnsi="Arial" w:cs="Arial"/>
                <w:i/>
                <w:iCs/>
              </w:rPr>
              <w:t>Whether and how the Government’s proposals will promote reconciliation in Northern Ireland;</w:t>
            </w:r>
          </w:p>
          <w:p w14:paraId="1E70BAB0" w14:textId="1540E0E5" w:rsidR="003D3AAC" w:rsidRPr="003D3AAC" w:rsidRDefault="003D3AAC" w:rsidP="003D3AAC">
            <w:pPr>
              <w:pStyle w:val="NormalWeb"/>
              <w:ind w:right="680"/>
              <w:contextualSpacing/>
              <w:jc w:val="both"/>
              <w:rPr>
                <w:rFonts w:ascii="Arial" w:hAnsi="Arial" w:cs="Arial"/>
                <w:i/>
                <w:iCs/>
              </w:rPr>
            </w:pPr>
          </w:p>
        </w:tc>
        <w:tc>
          <w:tcPr>
            <w:tcW w:w="1560" w:type="dxa"/>
          </w:tcPr>
          <w:p w14:paraId="65B6C422" w14:textId="331E6E0E" w:rsidR="00A337E9" w:rsidRPr="006934AE" w:rsidRDefault="006934AE" w:rsidP="00B53E93">
            <w:pPr>
              <w:pStyle w:val="NormalWeb"/>
              <w:spacing w:line="480" w:lineRule="auto"/>
              <w:ind w:right="680"/>
              <w:contextualSpacing/>
              <w:jc w:val="center"/>
              <w:rPr>
                <w:rFonts w:ascii="Arial" w:hAnsi="Arial" w:cs="Arial"/>
                <w:highlight w:val="yellow"/>
              </w:rPr>
            </w:pPr>
            <w:r w:rsidRPr="00CB3FE2">
              <w:rPr>
                <w:rFonts w:ascii="Arial" w:hAnsi="Arial" w:cs="Arial"/>
              </w:rPr>
              <w:t>9</w:t>
            </w:r>
          </w:p>
        </w:tc>
      </w:tr>
      <w:tr w:rsidR="003D3AAC" w14:paraId="131AE69B" w14:textId="77777777" w:rsidTr="00015A73">
        <w:tc>
          <w:tcPr>
            <w:tcW w:w="7797" w:type="dxa"/>
          </w:tcPr>
          <w:p w14:paraId="2161B03F" w14:textId="37B7ABAA" w:rsidR="003D3AAC" w:rsidRDefault="003D3AAC" w:rsidP="003D3AAC">
            <w:pPr>
              <w:pStyle w:val="NormalWeb"/>
              <w:ind w:right="680"/>
              <w:contextualSpacing/>
              <w:jc w:val="both"/>
              <w:rPr>
                <w:rFonts w:ascii="Arial" w:hAnsi="Arial" w:cs="Arial"/>
                <w:i/>
                <w:iCs/>
              </w:rPr>
            </w:pPr>
            <w:r>
              <w:rPr>
                <w:rFonts w:ascii="Arial" w:hAnsi="Arial" w:cs="Arial"/>
                <w:i/>
                <w:iCs/>
              </w:rPr>
              <w:t xml:space="preserve">The potential merits of consolidating the bodies envisaged in the Stormont </w:t>
            </w:r>
            <w:r w:rsidR="001A45C0">
              <w:rPr>
                <w:rFonts w:ascii="Arial" w:hAnsi="Arial" w:cs="Arial"/>
                <w:i/>
                <w:iCs/>
              </w:rPr>
              <w:t>H</w:t>
            </w:r>
            <w:r>
              <w:rPr>
                <w:rFonts w:ascii="Arial" w:hAnsi="Arial" w:cs="Arial"/>
                <w:i/>
                <w:iCs/>
              </w:rPr>
              <w:t>ouse Agreement into a single organisation;</w:t>
            </w:r>
          </w:p>
          <w:p w14:paraId="6FCD49F1" w14:textId="0C3326BC" w:rsidR="003D3AAC" w:rsidRPr="003D3AAC" w:rsidRDefault="003D3AAC" w:rsidP="003D3AAC">
            <w:pPr>
              <w:pStyle w:val="NormalWeb"/>
              <w:ind w:right="680"/>
              <w:contextualSpacing/>
              <w:jc w:val="both"/>
              <w:rPr>
                <w:rFonts w:ascii="Arial" w:hAnsi="Arial" w:cs="Arial"/>
                <w:i/>
                <w:iCs/>
              </w:rPr>
            </w:pPr>
          </w:p>
        </w:tc>
        <w:tc>
          <w:tcPr>
            <w:tcW w:w="1560" w:type="dxa"/>
          </w:tcPr>
          <w:p w14:paraId="319A9A36" w14:textId="55DC32E4" w:rsidR="003D3AAC" w:rsidRPr="00B53E93" w:rsidRDefault="00015A73" w:rsidP="00B53E93">
            <w:pPr>
              <w:pStyle w:val="NormalWeb"/>
              <w:spacing w:line="480" w:lineRule="auto"/>
              <w:ind w:right="680"/>
              <w:contextualSpacing/>
              <w:jc w:val="center"/>
              <w:rPr>
                <w:rFonts w:ascii="Arial" w:hAnsi="Arial" w:cs="Arial"/>
              </w:rPr>
            </w:pPr>
            <w:r>
              <w:rPr>
                <w:rFonts w:ascii="Arial" w:hAnsi="Arial" w:cs="Arial"/>
              </w:rPr>
              <w:t>10</w:t>
            </w:r>
          </w:p>
        </w:tc>
      </w:tr>
      <w:tr w:rsidR="003D3AAC" w14:paraId="7B976E63" w14:textId="77777777" w:rsidTr="00015A73">
        <w:tc>
          <w:tcPr>
            <w:tcW w:w="7797" w:type="dxa"/>
          </w:tcPr>
          <w:p w14:paraId="036E3F21" w14:textId="77777777" w:rsidR="003D3AAC" w:rsidRDefault="003D3AAC" w:rsidP="003D3AAC">
            <w:pPr>
              <w:pStyle w:val="NormalWeb"/>
              <w:ind w:right="680"/>
              <w:contextualSpacing/>
              <w:jc w:val="both"/>
              <w:rPr>
                <w:rFonts w:ascii="Arial" w:hAnsi="Arial" w:cs="Arial"/>
                <w:i/>
                <w:iCs/>
              </w:rPr>
            </w:pPr>
            <w:r>
              <w:rPr>
                <w:rFonts w:ascii="Arial" w:hAnsi="Arial" w:cs="Arial"/>
                <w:i/>
                <w:iCs/>
              </w:rPr>
              <w:t>The equity of the Government’s proposed approach to the re-investigation of cases;</w:t>
            </w:r>
          </w:p>
          <w:p w14:paraId="375B3D67" w14:textId="227BD384" w:rsidR="003D3AAC" w:rsidRPr="003D3AAC" w:rsidRDefault="003D3AAC" w:rsidP="003D3AAC">
            <w:pPr>
              <w:pStyle w:val="NormalWeb"/>
              <w:ind w:right="680"/>
              <w:contextualSpacing/>
              <w:jc w:val="both"/>
              <w:rPr>
                <w:rFonts w:ascii="Arial" w:hAnsi="Arial" w:cs="Arial"/>
                <w:i/>
                <w:iCs/>
              </w:rPr>
            </w:pPr>
          </w:p>
        </w:tc>
        <w:tc>
          <w:tcPr>
            <w:tcW w:w="1560" w:type="dxa"/>
          </w:tcPr>
          <w:p w14:paraId="424F69B7" w14:textId="3FED98CB" w:rsidR="003D3AAC" w:rsidRPr="00B53E93" w:rsidRDefault="00015A73" w:rsidP="00B53E93">
            <w:pPr>
              <w:pStyle w:val="NormalWeb"/>
              <w:spacing w:line="480" w:lineRule="auto"/>
              <w:ind w:right="680"/>
              <w:contextualSpacing/>
              <w:jc w:val="center"/>
              <w:rPr>
                <w:rFonts w:ascii="Arial" w:hAnsi="Arial" w:cs="Arial"/>
              </w:rPr>
            </w:pPr>
            <w:r>
              <w:rPr>
                <w:rFonts w:ascii="Arial" w:hAnsi="Arial" w:cs="Arial"/>
              </w:rPr>
              <w:t>10</w:t>
            </w:r>
          </w:p>
        </w:tc>
      </w:tr>
      <w:tr w:rsidR="003D3AAC" w14:paraId="490CD90C" w14:textId="77777777" w:rsidTr="00015A73">
        <w:tc>
          <w:tcPr>
            <w:tcW w:w="7797" w:type="dxa"/>
          </w:tcPr>
          <w:p w14:paraId="35D542E7" w14:textId="77777777" w:rsidR="003D3AAC" w:rsidRDefault="003D3AAC" w:rsidP="003D3AAC">
            <w:pPr>
              <w:pStyle w:val="NormalWeb"/>
              <w:ind w:right="680"/>
              <w:contextualSpacing/>
              <w:jc w:val="both"/>
              <w:rPr>
                <w:rFonts w:ascii="Arial" w:hAnsi="Arial" w:cs="Arial"/>
                <w:i/>
                <w:iCs/>
              </w:rPr>
            </w:pPr>
            <w:r>
              <w:rPr>
                <w:rFonts w:ascii="Arial" w:hAnsi="Arial" w:cs="Arial"/>
                <w:i/>
                <w:iCs/>
              </w:rPr>
              <w:t>What legislative steps the Government can take to address what have been described as vexatious claims against veterans;</w:t>
            </w:r>
          </w:p>
          <w:p w14:paraId="5FCC1C76" w14:textId="39C0D5C2" w:rsidR="003D3AAC" w:rsidRPr="003D3AAC" w:rsidRDefault="003D3AAC" w:rsidP="003D3AAC">
            <w:pPr>
              <w:pStyle w:val="NormalWeb"/>
              <w:ind w:right="680"/>
              <w:contextualSpacing/>
              <w:jc w:val="both"/>
              <w:rPr>
                <w:rFonts w:ascii="Arial" w:hAnsi="Arial" w:cs="Arial"/>
                <w:i/>
                <w:iCs/>
              </w:rPr>
            </w:pPr>
          </w:p>
        </w:tc>
        <w:tc>
          <w:tcPr>
            <w:tcW w:w="1560" w:type="dxa"/>
          </w:tcPr>
          <w:p w14:paraId="346CB29C" w14:textId="662BD433" w:rsidR="003D3AAC" w:rsidRPr="00B53E93" w:rsidRDefault="00015A73" w:rsidP="00B53E93">
            <w:pPr>
              <w:pStyle w:val="NormalWeb"/>
              <w:spacing w:line="480" w:lineRule="auto"/>
              <w:ind w:right="680"/>
              <w:contextualSpacing/>
              <w:jc w:val="center"/>
              <w:rPr>
                <w:rFonts w:ascii="Arial" w:hAnsi="Arial" w:cs="Arial"/>
              </w:rPr>
            </w:pPr>
            <w:r>
              <w:rPr>
                <w:rFonts w:ascii="Arial" w:hAnsi="Arial" w:cs="Arial"/>
              </w:rPr>
              <w:t>11</w:t>
            </w:r>
          </w:p>
        </w:tc>
      </w:tr>
      <w:tr w:rsidR="003D3AAC" w14:paraId="4507B999" w14:textId="77777777" w:rsidTr="00015A73">
        <w:tc>
          <w:tcPr>
            <w:tcW w:w="7797" w:type="dxa"/>
          </w:tcPr>
          <w:p w14:paraId="59511B22" w14:textId="6AD2303A" w:rsidR="003D3AAC" w:rsidRPr="003D3AAC" w:rsidRDefault="003D3AAC" w:rsidP="003D3AAC">
            <w:pPr>
              <w:pStyle w:val="NormalWeb"/>
              <w:ind w:right="680"/>
              <w:contextualSpacing/>
              <w:jc w:val="both"/>
              <w:rPr>
                <w:rFonts w:ascii="Arial" w:hAnsi="Arial" w:cs="Arial"/>
              </w:rPr>
            </w:pPr>
            <w:r>
              <w:rPr>
                <w:rFonts w:ascii="Arial" w:hAnsi="Arial" w:cs="Arial"/>
              </w:rPr>
              <w:t>Conclusion</w:t>
            </w:r>
          </w:p>
        </w:tc>
        <w:tc>
          <w:tcPr>
            <w:tcW w:w="1560" w:type="dxa"/>
          </w:tcPr>
          <w:p w14:paraId="178ADB32" w14:textId="518DF5D3" w:rsidR="003D3AAC" w:rsidRPr="00B53E93" w:rsidRDefault="00015A73" w:rsidP="00B53E93">
            <w:pPr>
              <w:pStyle w:val="NormalWeb"/>
              <w:spacing w:line="480" w:lineRule="auto"/>
              <w:ind w:right="680"/>
              <w:contextualSpacing/>
              <w:jc w:val="center"/>
              <w:rPr>
                <w:rFonts w:ascii="Arial" w:hAnsi="Arial" w:cs="Arial"/>
              </w:rPr>
            </w:pPr>
            <w:r w:rsidRPr="00CB3FE2">
              <w:rPr>
                <w:rFonts w:ascii="Arial" w:hAnsi="Arial" w:cs="Arial"/>
              </w:rPr>
              <w:t>1</w:t>
            </w:r>
            <w:r w:rsidR="006934AE" w:rsidRPr="00CB3FE2">
              <w:rPr>
                <w:rFonts w:ascii="Arial" w:hAnsi="Arial" w:cs="Arial"/>
              </w:rPr>
              <w:t>3</w:t>
            </w:r>
          </w:p>
        </w:tc>
      </w:tr>
      <w:tr w:rsidR="003D3AAC" w14:paraId="74ED2BB3" w14:textId="77777777" w:rsidTr="00015A73">
        <w:tc>
          <w:tcPr>
            <w:tcW w:w="7797" w:type="dxa"/>
          </w:tcPr>
          <w:p w14:paraId="7EFAABBD" w14:textId="77777777" w:rsidR="003D3AAC" w:rsidRPr="003D3AAC" w:rsidRDefault="003D3AAC" w:rsidP="003D3AAC">
            <w:pPr>
              <w:pStyle w:val="NormalWeb"/>
              <w:ind w:right="680"/>
              <w:contextualSpacing/>
              <w:jc w:val="both"/>
              <w:rPr>
                <w:rFonts w:ascii="Arial" w:hAnsi="Arial" w:cs="Arial"/>
                <w:i/>
                <w:iCs/>
              </w:rPr>
            </w:pPr>
          </w:p>
        </w:tc>
        <w:tc>
          <w:tcPr>
            <w:tcW w:w="1560" w:type="dxa"/>
          </w:tcPr>
          <w:p w14:paraId="719B7BE6" w14:textId="77777777" w:rsidR="003D3AAC" w:rsidRDefault="003D3AAC" w:rsidP="00B53E93">
            <w:pPr>
              <w:pStyle w:val="NormalWeb"/>
              <w:spacing w:line="480" w:lineRule="auto"/>
              <w:ind w:right="680"/>
              <w:contextualSpacing/>
              <w:jc w:val="center"/>
              <w:rPr>
                <w:rFonts w:ascii="Arial" w:hAnsi="Arial" w:cs="Arial"/>
                <w:u w:val="single"/>
              </w:rPr>
            </w:pPr>
          </w:p>
        </w:tc>
      </w:tr>
    </w:tbl>
    <w:p w14:paraId="19B22155" w14:textId="3AD0C66E" w:rsidR="00A337E9" w:rsidRDefault="00A337E9" w:rsidP="00056307">
      <w:pPr>
        <w:pStyle w:val="NormalWeb"/>
        <w:ind w:left="-340" w:right="680"/>
        <w:contextualSpacing/>
        <w:jc w:val="both"/>
        <w:rPr>
          <w:rFonts w:ascii="Arial" w:hAnsi="Arial" w:cs="Arial"/>
          <w:u w:val="single"/>
        </w:rPr>
      </w:pPr>
    </w:p>
    <w:p w14:paraId="76593C4E" w14:textId="77777777" w:rsidR="003D3AAC" w:rsidRDefault="003D3AAC" w:rsidP="00056307">
      <w:pPr>
        <w:pStyle w:val="NormalWeb"/>
        <w:ind w:left="-340" w:right="680"/>
        <w:contextualSpacing/>
        <w:jc w:val="both"/>
        <w:rPr>
          <w:rFonts w:ascii="Arial" w:hAnsi="Arial" w:cs="Arial"/>
          <w:u w:val="single"/>
        </w:rPr>
      </w:pPr>
    </w:p>
    <w:p w14:paraId="0070BC43" w14:textId="77777777" w:rsidR="00333482" w:rsidRDefault="00333482" w:rsidP="00056307">
      <w:pPr>
        <w:pStyle w:val="NormalWeb"/>
        <w:ind w:left="-340" w:right="680"/>
        <w:contextualSpacing/>
        <w:jc w:val="both"/>
        <w:rPr>
          <w:rFonts w:ascii="Arial" w:hAnsi="Arial" w:cs="Arial"/>
          <w:u w:val="single"/>
        </w:rPr>
      </w:pPr>
    </w:p>
    <w:p w14:paraId="2C6AC4EA" w14:textId="77777777" w:rsidR="003D3AAC" w:rsidRDefault="003D3AAC" w:rsidP="000B549C">
      <w:pPr>
        <w:pStyle w:val="NormalWeb"/>
        <w:ind w:left="-340" w:right="680"/>
        <w:contextualSpacing/>
        <w:jc w:val="both"/>
        <w:rPr>
          <w:rFonts w:ascii="Arial" w:hAnsi="Arial" w:cs="Arial"/>
          <w:u w:val="single"/>
        </w:rPr>
      </w:pPr>
    </w:p>
    <w:p w14:paraId="4FFEB7E6" w14:textId="77777777" w:rsidR="003D3AAC" w:rsidRDefault="003D3AAC" w:rsidP="003D3AAC">
      <w:pPr>
        <w:pStyle w:val="BodyText"/>
        <w:ind w:left="-340" w:right="680"/>
        <w:contextualSpacing/>
        <w:jc w:val="center"/>
        <w:rPr>
          <w:rFonts w:ascii="Arial" w:hAnsi="Arial" w:cs="Arial"/>
          <w:b/>
          <w:bCs/>
          <w:sz w:val="24"/>
          <w:szCs w:val="24"/>
          <w:u w:val="single"/>
        </w:rPr>
      </w:pPr>
      <w:r w:rsidRPr="00D16CB0">
        <w:rPr>
          <w:rFonts w:ascii="Arial" w:hAnsi="Arial" w:cs="Arial"/>
          <w:b/>
          <w:bCs/>
          <w:sz w:val="24"/>
          <w:szCs w:val="24"/>
          <w:u w:val="single"/>
        </w:rPr>
        <w:t xml:space="preserve">Northern Ireland </w:t>
      </w:r>
      <w:r>
        <w:rPr>
          <w:rFonts w:ascii="Arial" w:hAnsi="Arial" w:cs="Arial"/>
          <w:b/>
          <w:bCs/>
          <w:sz w:val="24"/>
          <w:szCs w:val="24"/>
          <w:u w:val="single"/>
        </w:rPr>
        <w:t xml:space="preserve">Affairs Committee - Consultation on </w:t>
      </w:r>
      <w:r w:rsidRPr="00D16CB0">
        <w:rPr>
          <w:rFonts w:ascii="Arial" w:hAnsi="Arial" w:cs="Arial"/>
          <w:b/>
          <w:bCs/>
          <w:sz w:val="24"/>
          <w:szCs w:val="24"/>
          <w:u w:val="single"/>
        </w:rPr>
        <w:t>Legacy Proposals 2020</w:t>
      </w:r>
    </w:p>
    <w:p w14:paraId="04881CE1" w14:textId="77777777" w:rsidR="003D3AAC" w:rsidRDefault="003D3AAC" w:rsidP="003D3AAC">
      <w:pPr>
        <w:pStyle w:val="NormalWeb"/>
        <w:ind w:right="680"/>
        <w:contextualSpacing/>
        <w:jc w:val="both"/>
        <w:rPr>
          <w:rFonts w:ascii="Arial" w:hAnsi="Arial" w:cs="Arial"/>
          <w:u w:val="single"/>
        </w:rPr>
      </w:pPr>
    </w:p>
    <w:p w14:paraId="4D9D975D" w14:textId="155BF9BA" w:rsidR="000B549C" w:rsidRDefault="00333482" w:rsidP="000B549C">
      <w:pPr>
        <w:pStyle w:val="NormalWeb"/>
        <w:ind w:left="-340" w:right="680"/>
        <w:contextualSpacing/>
        <w:jc w:val="both"/>
        <w:rPr>
          <w:rFonts w:ascii="Arial" w:hAnsi="Arial" w:cs="Arial"/>
          <w:u w:val="single"/>
        </w:rPr>
      </w:pPr>
      <w:r>
        <w:rPr>
          <w:rFonts w:ascii="Arial" w:hAnsi="Arial" w:cs="Arial"/>
          <w:u w:val="single"/>
        </w:rPr>
        <w:t>Executive Summary</w:t>
      </w:r>
    </w:p>
    <w:p w14:paraId="60E394AC" w14:textId="77777777" w:rsidR="000B549C" w:rsidRDefault="000B549C" w:rsidP="000B549C">
      <w:pPr>
        <w:pStyle w:val="NormalWeb"/>
        <w:ind w:left="-340" w:right="680"/>
        <w:contextualSpacing/>
        <w:jc w:val="both"/>
        <w:rPr>
          <w:rFonts w:ascii="Arial" w:hAnsi="Arial" w:cs="Arial"/>
          <w:u w:val="single"/>
        </w:rPr>
      </w:pPr>
    </w:p>
    <w:p w14:paraId="7E236F0E" w14:textId="77777777" w:rsidR="000B549C" w:rsidRDefault="00333482" w:rsidP="000B549C">
      <w:pPr>
        <w:pStyle w:val="NormalWeb"/>
        <w:numPr>
          <w:ilvl w:val="0"/>
          <w:numId w:val="9"/>
        </w:numPr>
        <w:ind w:right="680"/>
        <w:contextualSpacing/>
        <w:jc w:val="both"/>
        <w:rPr>
          <w:rFonts w:ascii="Arial" w:hAnsi="Arial" w:cs="Arial"/>
          <w:u w:val="single"/>
        </w:rPr>
      </w:pPr>
      <w:r>
        <w:rPr>
          <w:rFonts w:ascii="Arial" w:hAnsi="Arial" w:cs="Arial"/>
        </w:rPr>
        <w:t>NIRPOA welcomes the new Government initiative on the basis of the published information and looks forward to seeing greater detail of the proposals.</w:t>
      </w:r>
    </w:p>
    <w:p w14:paraId="2DE1A928" w14:textId="77777777" w:rsidR="000B549C" w:rsidRDefault="000B549C" w:rsidP="000B549C">
      <w:pPr>
        <w:pStyle w:val="NormalWeb"/>
        <w:ind w:left="-340" w:right="680"/>
        <w:contextualSpacing/>
        <w:jc w:val="both"/>
        <w:rPr>
          <w:rFonts w:ascii="Arial" w:hAnsi="Arial" w:cs="Arial"/>
          <w:u w:val="single"/>
        </w:rPr>
      </w:pPr>
    </w:p>
    <w:p w14:paraId="739867AF" w14:textId="77777777" w:rsidR="000B549C" w:rsidRDefault="009E5D4F" w:rsidP="000B549C">
      <w:pPr>
        <w:pStyle w:val="NormalWeb"/>
        <w:numPr>
          <w:ilvl w:val="0"/>
          <w:numId w:val="9"/>
        </w:numPr>
        <w:ind w:right="680"/>
        <w:contextualSpacing/>
        <w:jc w:val="both"/>
        <w:rPr>
          <w:rFonts w:ascii="Arial" w:hAnsi="Arial" w:cs="Arial"/>
          <w:u w:val="single"/>
        </w:rPr>
      </w:pPr>
      <w:r>
        <w:rPr>
          <w:rFonts w:ascii="Arial" w:hAnsi="Arial" w:cs="Arial"/>
        </w:rPr>
        <w:t>NIRPOA stands by its previous evidence to NIAC and submission to the NIO in relation to the 2018 SHA proposals.</w:t>
      </w:r>
    </w:p>
    <w:p w14:paraId="68834FD5" w14:textId="77777777" w:rsidR="000B549C" w:rsidRDefault="000B549C" w:rsidP="000B549C">
      <w:pPr>
        <w:pStyle w:val="NormalWeb"/>
        <w:ind w:left="-340" w:right="680"/>
        <w:contextualSpacing/>
        <w:jc w:val="both"/>
        <w:rPr>
          <w:rFonts w:ascii="Arial" w:hAnsi="Arial" w:cs="Arial"/>
          <w:u w:val="single"/>
        </w:rPr>
      </w:pPr>
    </w:p>
    <w:p w14:paraId="09666A79" w14:textId="7FB300A5" w:rsidR="000B549C" w:rsidRPr="00AB090A" w:rsidRDefault="009E5D4F" w:rsidP="000B549C">
      <w:pPr>
        <w:pStyle w:val="NormalWeb"/>
        <w:numPr>
          <w:ilvl w:val="0"/>
          <w:numId w:val="9"/>
        </w:numPr>
        <w:ind w:right="680"/>
        <w:contextualSpacing/>
        <w:jc w:val="both"/>
        <w:rPr>
          <w:rFonts w:ascii="Arial" w:hAnsi="Arial" w:cs="Arial"/>
          <w:u w:val="single"/>
        </w:rPr>
      </w:pPr>
      <w:r>
        <w:rPr>
          <w:rFonts w:ascii="Arial" w:hAnsi="Arial" w:cs="Arial"/>
        </w:rPr>
        <w:t xml:space="preserve">Whilst remaining clear that we do not as a matter of principle favour the idea of amnesty for criminal offences, we welcome the proposals to establish lawful and practical criteria for launching new investigations or re-investigations in relation to historical </w:t>
      </w:r>
      <w:r w:rsidR="008857CF">
        <w:rPr>
          <w:rFonts w:ascii="Arial" w:hAnsi="Arial" w:cs="Arial"/>
        </w:rPr>
        <w:t xml:space="preserve">incidents </w:t>
      </w:r>
      <w:r w:rsidR="008857CF" w:rsidRPr="00AB090A">
        <w:rPr>
          <w:rFonts w:ascii="Arial" w:hAnsi="Arial" w:cs="Arial"/>
        </w:rPr>
        <w:t>where a death has occurred</w:t>
      </w:r>
      <w:r w:rsidRPr="00AB090A">
        <w:rPr>
          <w:rFonts w:ascii="Arial" w:hAnsi="Arial" w:cs="Arial"/>
        </w:rPr>
        <w:t>.</w:t>
      </w:r>
    </w:p>
    <w:p w14:paraId="1EC1F62B" w14:textId="77777777" w:rsidR="000B549C" w:rsidRDefault="000B549C" w:rsidP="000B549C">
      <w:pPr>
        <w:pStyle w:val="NormalWeb"/>
        <w:ind w:left="-340" w:right="680"/>
        <w:contextualSpacing/>
        <w:jc w:val="both"/>
        <w:rPr>
          <w:rFonts w:ascii="Arial" w:hAnsi="Arial" w:cs="Arial"/>
          <w:u w:val="single"/>
        </w:rPr>
      </w:pPr>
    </w:p>
    <w:p w14:paraId="6809E02A" w14:textId="0FFBD89B" w:rsidR="000B549C" w:rsidRDefault="009E5D4F" w:rsidP="000B549C">
      <w:pPr>
        <w:pStyle w:val="NormalWeb"/>
        <w:numPr>
          <w:ilvl w:val="0"/>
          <w:numId w:val="9"/>
        </w:numPr>
        <w:ind w:right="680"/>
        <w:contextualSpacing/>
        <w:jc w:val="both"/>
        <w:rPr>
          <w:rFonts w:ascii="Arial" w:hAnsi="Arial" w:cs="Arial"/>
          <w:u w:val="single"/>
        </w:rPr>
      </w:pPr>
      <w:r>
        <w:rPr>
          <w:rFonts w:ascii="Arial" w:hAnsi="Arial" w:cs="Arial"/>
        </w:rPr>
        <w:t>We welcome the disappearance of the unlawful</w:t>
      </w:r>
      <w:r w:rsidR="00EF3C6F">
        <w:rPr>
          <w:rFonts w:ascii="Arial" w:hAnsi="Arial" w:cs="Arial"/>
        </w:rPr>
        <w:t xml:space="preserve"> and improper</w:t>
      </w:r>
      <w:r>
        <w:rPr>
          <w:rFonts w:ascii="Arial" w:hAnsi="Arial" w:cs="Arial"/>
        </w:rPr>
        <w:t xml:space="preserve"> proposals regarding</w:t>
      </w:r>
      <w:r w:rsidR="00EF3C6F">
        <w:rPr>
          <w:rFonts w:ascii="Arial" w:hAnsi="Arial" w:cs="Arial"/>
        </w:rPr>
        <w:t xml:space="preserve"> so-called</w:t>
      </w:r>
      <w:r>
        <w:rPr>
          <w:rFonts w:ascii="Arial" w:hAnsi="Arial" w:cs="Arial"/>
        </w:rPr>
        <w:t xml:space="preserve"> ‘non-criminal police misconduct’.</w:t>
      </w:r>
    </w:p>
    <w:p w14:paraId="6597DFBD" w14:textId="77777777" w:rsidR="000B549C" w:rsidRDefault="000B549C" w:rsidP="000B549C">
      <w:pPr>
        <w:pStyle w:val="NormalWeb"/>
        <w:ind w:left="-340" w:right="680"/>
        <w:contextualSpacing/>
        <w:jc w:val="both"/>
        <w:rPr>
          <w:rFonts w:ascii="Arial" w:hAnsi="Arial" w:cs="Arial"/>
          <w:u w:val="single"/>
        </w:rPr>
      </w:pPr>
    </w:p>
    <w:p w14:paraId="2205F694" w14:textId="68B0F0ED" w:rsidR="00A337E9" w:rsidRPr="00A337E9" w:rsidRDefault="009E5D4F" w:rsidP="00A337E9">
      <w:pPr>
        <w:pStyle w:val="NormalWeb"/>
        <w:numPr>
          <w:ilvl w:val="0"/>
          <w:numId w:val="9"/>
        </w:numPr>
        <w:ind w:right="680"/>
        <w:contextualSpacing/>
        <w:jc w:val="both"/>
        <w:rPr>
          <w:rFonts w:ascii="Arial" w:hAnsi="Arial" w:cs="Arial"/>
          <w:u w:val="single"/>
        </w:rPr>
      </w:pPr>
      <w:r>
        <w:rPr>
          <w:rFonts w:ascii="Arial" w:hAnsi="Arial" w:cs="Arial"/>
        </w:rPr>
        <w:t>We welcome the discussion which is now taking place on the issue of ‘context’ and ‘memory’.</w:t>
      </w:r>
    </w:p>
    <w:p w14:paraId="6717B559" w14:textId="77777777" w:rsidR="00A337E9" w:rsidRPr="00A337E9" w:rsidRDefault="00A337E9" w:rsidP="00A337E9">
      <w:pPr>
        <w:pStyle w:val="NormalWeb"/>
        <w:ind w:right="680"/>
        <w:contextualSpacing/>
        <w:jc w:val="both"/>
        <w:rPr>
          <w:rFonts w:ascii="Arial" w:hAnsi="Arial" w:cs="Arial"/>
          <w:u w:val="single"/>
        </w:rPr>
      </w:pPr>
    </w:p>
    <w:p w14:paraId="10899861" w14:textId="0C00A2B3" w:rsidR="00A337E9" w:rsidRDefault="00A337E9" w:rsidP="00A337E9">
      <w:pPr>
        <w:pStyle w:val="NormalWeb"/>
        <w:numPr>
          <w:ilvl w:val="0"/>
          <w:numId w:val="9"/>
        </w:numPr>
        <w:ind w:right="680"/>
        <w:contextualSpacing/>
        <w:jc w:val="both"/>
        <w:rPr>
          <w:rFonts w:ascii="Arial" w:hAnsi="Arial" w:cs="Arial"/>
        </w:rPr>
      </w:pPr>
      <w:r w:rsidRPr="00A337E9">
        <w:rPr>
          <w:rFonts w:ascii="Arial" w:hAnsi="Arial" w:cs="Arial"/>
        </w:rPr>
        <w:t xml:space="preserve">We welcome </w:t>
      </w:r>
      <w:r>
        <w:rPr>
          <w:rFonts w:ascii="Arial" w:hAnsi="Arial" w:cs="Arial"/>
        </w:rPr>
        <w:t xml:space="preserve">the emphasis on the needs of victims and urge the </w:t>
      </w:r>
      <w:r w:rsidR="00FE489B">
        <w:rPr>
          <w:rFonts w:ascii="Arial" w:hAnsi="Arial" w:cs="Arial"/>
        </w:rPr>
        <w:t>G</w:t>
      </w:r>
      <w:r>
        <w:rPr>
          <w:rFonts w:ascii="Arial" w:hAnsi="Arial" w:cs="Arial"/>
        </w:rPr>
        <w:t>overnment to recognise the wide variety of types of victim and types of need.</w:t>
      </w:r>
    </w:p>
    <w:p w14:paraId="2BD344EE" w14:textId="77777777" w:rsidR="00A337E9" w:rsidRPr="00A337E9" w:rsidRDefault="00A337E9" w:rsidP="00A337E9">
      <w:pPr>
        <w:pStyle w:val="NormalWeb"/>
        <w:ind w:right="680"/>
        <w:contextualSpacing/>
        <w:jc w:val="both"/>
        <w:rPr>
          <w:rFonts w:ascii="Arial" w:hAnsi="Arial" w:cs="Arial"/>
        </w:rPr>
      </w:pPr>
    </w:p>
    <w:p w14:paraId="387CAD02" w14:textId="5B828C04" w:rsidR="00A337E9" w:rsidRPr="00A337E9" w:rsidRDefault="00A337E9" w:rsidP="00A337E9">
      <w:pPr>
        <w:pStyle w:val="NormalWeb"/>
        <w:numPr>
          <w:ilvl w:val="0"/>
          <w:numId w:val="9"/>
        </w:numPr>
        <w:ind w:right="680"/>
        <w:contextualSpacing/>
        <w:jc w:val="both"/>
        <w:rPr>
          <w:rFonts w:ascii="Arial" w:hAnsi="Arial" w:cs="Arial"/>
        </w:rPr>
      </w:pPr>
      <w:r>
        <w:rPr>
          <w:rFonts w:ascii="Arial" w:hAnsi="Arial" w:cs="Arial"/>
        </w:rPr>
        <w:t>We welcome the more realistic approach to legacy issues which is implied by the announcement and urge the Government to avoid creating expectations which may be undeliverable.</w:t>
      </w:r>
    </w:p>
    <w:p w14:paraId="1813C050" w14:textId="77777777" w:rsidR="000B549C" w:rsidRDefault="000B549C" w:rsidP="000B549C">
      <w:pPr>
        <w:pStyle w:val="NormalWeb"/>
        <w:ind w:left="-340" w:right="680"/>
        <w:contextualSpacing/>
        <w:jc w:val="both"/>
        <w:rPr>
          <w:rFonts w:ascii="Arial" w:hAnsi="Arial" w:cs="Arial"/>
          <w:u w:val="single"/>
        </w:rPr>
      </w:pPr>
    </w:p>
    <w:p w14:paraId="19B67A76" w14:textId="7D446CDB" w:rsidR="00333482" w:rsidRDefault="009E5D4F" w:rsidP="00B53E93">
      <w:pPr>
        <w:pStyle w:val="NormalWeb"/>
        <w:numPr>
          <w:ilvl w:val="0"/>
          <w:numId w:val="9"/>
        </w:numPr>
        <w:ind w:right="680"/>
        <w:contextualSpacing/>
        <w:jc w:val="both"/>
        <w:rPr>
          <w:rFonts w:ascii="Arial" w:hAnsi="Arial" w:cs="Arial"/>
          <w:u w:val="single"/>
        </w:rPr>
      </w:pPr>
      <w:r>
        <w:rPr>
          <w:rFonts w:ascii="Arial" w:hAnsi="Arial" w:cs="Arial"/>
        </w:rPr>
        <w:t>We recommend that the functions which have been proposed for the Historical Investigations Unit be made the responsibility of an expanded and upgraded version of the PSNI’s Legacy Investigation Branch</w:t>
      </w:r>
      <w:r w:rsidR="00EF3C6F">
        <w:rPr>
          <w:rFonts w:ascii="Arial" w:hAnsi="Arial" w:cs="Arial"/>
        </w:rPr>
        <w:t xml:space="preserve"> with appropriate independent oversight</w:t>
      </w:r>
      <w:r>
        <w:rPr>
          <w:rFonts w:ascii="Arial" w:hAnsi="Arial" w:cs="Arial"/>
        </w:rPr>
        <w:t>.</w:t>
      </w:r>
    </w:p>
    <w:p w14:paraId="45111315" w14:textId="77777777" w:rsidR="00B53E93" w:rsidRPr="00B53E93" w:rsidRDefault="00B53E93" w:rsidP="00B53E93">
      <w:pPr>
        <w:pStyle w:val="NormalWeb"/>
        <w:ind w:right="680"/>
        <w:contextualSpacing/>
        <w:jc w:val="both"/>
        <w:rPr>
          <w:rFonts w:ascii="Arial" w:hAnsi="Arial" w:cs="Arial"/>
          <w:u w:val="single"/>
        </w:rPr>
      </w:pPr>
    </w:p>
    <w:p w14:paraId="4ADED363" w14:textId="77777777" w:rsidR="003056EF" w:rsidRDefault="003056EF" w:rsidP="00056307">
      <w:pPr>
        <w:pStyle w:val="NormalWeb"/>
        <w:ind w:left="-340" w:right="680"/>
        <w:contextualSpacing/>
        <w:jc w:val="both"/>
        <w:rPr>
          <w:rFonts w:ascii="Arial" w:hAnsi="Arial" w:cs="Arial"/>
          <w:u w:val="single"/>
        </w:rPr>
      </w:pPr>
    </w:p>
    <w:p w14:paraId="45C9CD72" w14:textId="67A89EBE" w:rsidR="000D7940" w:rsidRDefault="000D7940" w:rsidP="00056307">
      <w:pPr>
        <w:pStyle w:val="NormalWeb"/>
        <w:ind w:left="-340" w:right="680"/>
        <w:contextualSpacing/>
        <w:jc w:val="both"/>
        <w:rPr>
          <w:rFonts w:ascii="Arial" w:hAnsi="Arial" w:cs="Arial"/>
          <w:u w:val="single"/>
        </w:rPr>
      </w:pPr>
      <w:r w:rsidRPr="000D7940">
        <w:rPr>
          <w:rFonts w:ascii="Arial" w:hAnsi="Arial" w:cs="Arial"/>
          <w:u w:val="single"/>
        </w:rPr>
        <w:t>Introduction</w:t>
      </w:r>
    </w:p>
    <w:p w14:paraId="78E06457" w14:textId="77777777" w:rsidR="000D7940" w:rsidRPr="000D7940" w:rsidRDefault="000D7940" w:rsidP="00056307">
      <w:pPr>
        <w:pStyle w:val="NormalWeb"/>
        <w:ind w:left="-340" w:right="680"/>
        <w:contextualSpacing/>
        <w:jc w:val="both"/>
        <w:rPr>
          <w:rFonts w:ascii="Arial" w:hAnsi="Arial" w:cs="Arial"/>
          <w:u w:val="single"/>
        </w:rPr>
      </w:pPr>
    </w:p>
    <w:p w14:paraId="7FABDA44" w14:textId="132D6C90" w:rsidR="00056307" w:rsidRDefault="00CD3EC2" w:rsidP="00056307">
      <w:pPr>
        <w:pStyle w:val="NormalWeb"/>
        <w:ind w:left="-340" w:right="680"/>
        <w:contextualSpacing/>
        <w:jc w:val="both"/>
        <w:rPr>
          <w:rFonts w:ascii="Arial" w:hAnsi="Arial" w:cs="Arial"/>
        </w:rPr>
      </w:pPr>
      <w:r w:rsidRPr="00CD3EC2">
        <w:rPr>
          <w:rFonts w:ascii="Arial" w:hAnsi="Arial" w:cs="Arial"/>
        </w:rPr>
        <w:t>This paper has been prepared by the Northern Ireland Retired Police Officers Association (NIRPOA</w:t>
      </w:r>
      <w:r w:rsidR="0096129B">
        <w:rPr>
          <w:rFonts w:ascii="Arial" w:hAnsi="Arial" w:cs="Arial"/>
        </w:rPr>
        <w:t xml:space="preserve"> – the Association</w:t>
      </w:r>
      <w:r w:rsidRPr="00CD3EC2">
        <w:rPr>
          <w:rFonts w:ascii="Arial" w:hAnsi="Arial" w:cs="Arial"/>
        </w:rPr>
        <w:t xml:space="preserve">) in response to the </w:t>
      </w:r>
      <w:r>
        <w:rPr>
          <w:rFonts w:ascii="Arial" w:hAnsi="Arial" w:cs="Arial"/>
        </w:rPr>
        <w:t xml:space="preserve">invitation issued on </w:t>
      </w:r>
      <w:r w:rsidR="000D7940">
        <w:rPr>
          <w:rFonts w:ascii="Arial" w:hAnsi="Arial" w:cs="Arial"/>
        </w:rPr>
        <w:t>29</w:t>
      </w:r>
      <w:r w:rsidR="000D7940" w:rsidRPr="000D7940">
        <w:rPr>
          <w:rFonts w:ascii="Arial" w:hAnsi="Arial" w:cs="Arial"/>
          <w:vertAlign w:val="superscript"/>
        </w:rPr>
        <w:t>th</w:t>
      </w:r>
      <w:r w:rsidR="000D7940">
        <w:rPr>
          <w:rFonts w:ascii="Arial" w:hAnsi="Arial" w:cs="Arial"/>
        </w:rPr>
        <w:t xml:space="preserve"> </w:t>
      </w:r>
      <w:r>
        <w:rPr>
          <w:rFonts w:ascii="Arial" w:hAnsi="Arial" w:cs="Arial"/>
        </w:rPr>
        <w:t>April 2020 by the Northern Ireland Affairs Committee (NIAC</w:t>
      </w:r>
      <w:r w:rsidR="0096129B">
        <w:rPr>
          <w:rFonts w:ascii="Arial" w:hAnsi="Arial" w:cs="Arial"/>
        </w:rPr>
        <w:t xml:space="preserve"> – the Committee</w:t>
      </w:r>
      <w:r>
        <w:rPr>
          <w:rFonts w:ascii="Arial" w:hAnsi="Arial" w:cs="Arial"/>
        </w:rPr>
        <w:t>).</w:t>
      </w:r>
      <w:r w:rsidR="00D16CB0">
        <w:rPr>
          <w:rFonts w:ascii="Arial" w:hAnsi="Arial" w:cs="Arial"/>
        </w:rPr>
        <w:t xml:space="preserve"> </w:t>
      </w:r>
      <w:r w:rsidRPr="00CD3EC2">
        <w:rPr>
          <w:rFonts w:ascii="Arial" w:hAnsi="Arial" w:cs="Arial"/>
        </w:rPr>
        <w:t xml:space="preserve">NIRPOA has a membership of some </w:t>
      </w:r>
      <w:r w:rsidR="000341BF">
        <w:rPr>
          <w:rFonts w:ascii="Arial" w:hAnsi="Arial" w:cs="Arial"/>
        </w:rPr>
        <w:t>3,800</w:t>
      </w:r>
      <w:r w:rsidRPr="00CD3EC2">
        <w:rPr>
          <w:rFonts w:ascii="Arial" w:hAnsi="Arial" w:cs="Arial"/>
        </w:rPr>
        <w:t xml:space="preserve"> retired members of the Royal Ulster Constabulary George Cross (RUCGC) and the Police Service of Northern Ireland (PSNI). NIRPOA represents them and their families and attends to the general welfare interests of all retired police officers, whether members of the Association or not. </w:t>
      </w:r>
      <w:r w:rsidR="000341BF">
        <w:rPr>
          <w:rFonts w:ascii="Arial" w:hAnsi="Arial" w:cs="Arial"/>
        </w:rPr>
        <w:t>For a number of years now the Association has increasingly found itself obliged to represent the interests of its members and the wider policing family in relation to legacy issues.</w:t>
      </w:r>
    </w:p>
    <w:p w14:paraId="0060EFB6" w14:textId="77777777" w:rsidR="000D7940" w:rsidRDefault="000D7940" w:rsidP="00056307">
      <w:pPr>
        <w:pStyle w:val="NormalWeb"/>
        <w:ind w:left="-340" w:right="680"/>
        <w:contextualSpacing/>
        <w:jc w:val="both"/>
        <w:rPr>
          <w:rFonts w:ascii="Arial" w:hAnsi="Arial" w:cs="Arial"/>
        </w:rPr>
      </w:pPr>
    </w:p>
    <w:p w14:paraId="75F37AD2" w14:textId="4F53317D" w:rsidR="00C52DD3" w:rsidRDefault="00C52DD3" w:rsidP="00056307">
      <w:pPr>
        <w:pStyle w:val="NormalWeb"/>
        <w:ind w:left="-340" w:right="680"/>
        <w:contextualSpacing/>
        <w:jc w:val="both"/>
        <w:rPr>
          <w:rFonts w:ascii="Arial" w:hAnsi="Arial" w:cs="Arial"/>
        </w:rPr>
      </w:pPr>
      <w:r>
        <w:rPr>
          <w:rFonts w:ascii="Arial" w:hAnsi="Arial" w:cs="Arial"/>
        </w:rPr>
        <w:t xml:space="preserve">In June 2018 NIRPOA made a written submission to NIAC on the then Northern Ireland Office (NIO) draft legislation by which it was proposed to implement the Stormont </w:t>
      </w:r>
      <w:r w:rsidR="000D7940">
        <w:rPr>
          <w:rFonts w:ascii="Arial" w:hAnsi="Arial" w:cs="Arial"/>
        </w:rPr>
        <w:t>H</w:t>
      </w:r>
      <w:r>
        <w:rPr>
          <w:rFonts w:ascii="Arial" w:hAnsi="Arial" w:cs="Arial"/>
        </w:rPr>
        <w:t>ouse Agreement (SHA).</w:t>
      </w:r>
      <w:r w:rsidR="000D7940">
        <w:rPr>
          <w:rFonts w:ascii="Arial" w:hAnsi="Arial" w:cs="Arial"/>
        </w:rPr>
        <w:t xml:space="preserve"> In August 2018 the Association made a formal written response to the NIO’s invitation to engage in </w:t>
      </w:r>
      <w:r w:rsidR="00E62DCD">
        <w:rPr>
          <w:rFonts w:ascii="Arial" w:hAnsi="Arial" w:cs="Arial"/>
        </w:rPr>
        <w:t>the</w:t>
      </w:r>
      <w:r w:rsidR="000D7940">
        <w:rPr>
          <w:rFonts w:ascii="Arial" w:hAnsi="Arial" w:cs="Arial"/>
        </w:rPr>
        <w:t xml:space="preserve"> consultation process prior to further development of the legislative proposals. The second Association document was a fuller and more developed version of the first, but the arguments that we adduced were </w:t>
      </w:r>
      <w:r w:rsidR="000D7940">
        <w:rPr>
          <w:rFonts w:ascii="Arial" w:hAnsi="Arial" w:cs="Arial"/>
        </w:rPr>
        <w:lastRenderedPageBreak/>
        <w:t>similar. The Committee has copies of both. On 30</w:t>
      </w:r>
      <w:r w:rsidR="000D7940" w:rsidRPr="000D7940">
        <w:rPr>
          <w:rFonts w:ascii="Arial" w:hAnsi="Arial" w:cs="Arial"/>
          <w:vertAlign w:val="superscript"/>
        </w:rPr>
        <w:t>th</w:t>
      </w:r>
      <w:r w:rsidR="000D7940">
        <w:rPr>
          <w:rFonts w:ascii="Arial" w:hAnsi="Arial" w:cs="Arial"/>
        </w:rPr>
        <w:t xml:space="preserve"> October 2019 two members of the Association gave verbal evidence to the Committee at Westminster. At the request of the Chairman</w:t>
      </w:r>
      <w:r w:rsidR="00E62DCD">
        <w:rPr>
          <w:rFonts w:ascii="Arial" w:hAnsi="Arial" w:cs="Arial"/>
        </w:rPr>
        <w:t xml:space="preserve"> of NIAC</w:t>
      </w:r>
      <w:r w:rsidR="000D7940">
        <w:rPr>
          <w:rFonts w:ascii="Arial" w:hAnsi="Arial" w:cs="Arial"/>
        </w:rPr>
        <w:t xml:space="preserve"> the Association then supplied additional written evidence</w:t>
      </w:r>
      <w:r w:rsidR="00896946">
        <w:rPr>
          <w:rFonts w:ascii="Arial" w:hAnsi="Arial" w:cs="Arial"/>
        </w:rPr>
        <w:t xml:space="preserve"> (1</w:t>
      </w:r>
      <w:r w:rsidR="00896946" w:rsidRPr="00896946">
        <w:rPr>
          <w:rFonts w:ascii="Arial" w:hAnsi="Arial" w:cs="Arial"/>
          <w:vertAlign w:val="superscript"/>
        </w:rPr>
        <w:t>st</w:t>
      </w:r>
      <w:r w:rsidR="00896946">
        <w:rPr>
          <w:rFonts w:ascii="Arial" w:hAnsi="Arial" w:cs="Arial"/>
        </w:rPr>
        <w:t xml:space="preserve"> November 2019)</w:t>
      </w:r>
      <w:r w:rsidR="000D7940">
        <w:rPr>
          <w:rFonts w:ascii="Arial" w:hAnsi="Arial" w:cs="Arial"/>
        </w:rPr>
        <w:t xml:space="preserve"> concerning the </w:t>
      </w:r>
      <w:r w:rsidR="00EF3C6F">
        <w:rPr>
          <w:rFonts w:ascii="Arial" w:hAnsi="Arial" w:cs="Arial"/>
        </w:rPr>
        <w:t xml:space="preserve">manifest </w:t>
      </w:r>
      <w:r w:rsidR="00896946">
        <w:rPr>
          <w:rFonts w:ascii="Arial" w:hAnsi="Arial" w:cs="Arial"/>
        </w:rPr>
        <w:t>in</w:t>
      </w:r>
      <w:r w:rsidR="000D7940">
        <w:rPr>
          <w:rFonts w:ascii="Arial" w:hAnsi="Arial" w:cs="Arial"/>
        </w:rPr>
        <w:t>compatibility of the proposed legislation with relevant articles of the European Convention on Human Rights (ECHR).</w:t>
      </w:r>
    </w:p>
    <w:p w14:paraId="767A25D8" w14:textId="470AC1CF" w:rsidR="00896946" w:rsidRDefault="00896946" w:rsidP="00056307">
      <w:pPr>
        <w:pStyle w:val="NormalWeb"/>
        <w:ind w:left="-340" w:right="680"/>
        <w:contextualSpacing/>
        <w:jc w:val="both"/>
        <w:rPr>
          <w:rFonts w:ascii="Arial" w:hAnsi="Arial" w:cs="Arial"/>
        </w:rPr>
      </w:pPr>
    </w:p>
    <w:p w14:paraId="02BA033C" w14:textId="1382017B" w:rsidR="00896946" w:rsidRPr="00CD3EC2" w:rsidRDefault="00896946" w:rsidP="00056307">
      <w:pPr>
        <w:pStyle w:val="NormalWeb"/>
        <w:ind w:left="-340" w:right="680"/>
        <w:contextualSpacing/>
        <w:jc w:val="both"/>
        <w:rPr>
          <w:rFonts w:ascii="Arial" w:hAnsi="Arial" w:cs="Arial"/>
        </w:rPr>
      </w:pPr>
      <w:r>
        <w:rPr>
          <w:rFonts w:ascii="Arial" w:hAnsi="Arial" w:cs="Arial"/>
        </w:rPr>
        <w:t xml:space="preserve">From the cited written and verbal submissions it will be clear that the Association had very grave concerns about the proposed legislation, </w:t>
      </w:r>
      <w:proofErr w:type="spellStart"/>
      <w:r>
        <w:rPr>
          <w:rFonts w:ascii="Arial" w:hAnsi="Arial" w:cs="Arial"/>
        </w:rPr>
        <w:t>to</w:t>
      </w:r>
      <w:proofErr w:type="spellEnd"/>
      <w:r>
        <w:rPr>
          <w:rFonts w:ascii="Arial" w:hAnsi="Arial" w:cs="Arial"/>
        </w:rPr>
        <w:t xml:space="preserve"> much of which we were resolutely opposed. We do not resile in any way from those views and we very much welcome the apparent change in emphasis which appears to be heralded by the statement made by the new Secretary of State for Northern Ireland (SOS) on 18</w:t>
      </w:r>
      <w:r w:rsidRPr="00896946">
        <w:rPr>
          <w:rFonts w:ascii="Arial" w:hAnsi="Arial" w:cs="Arial"/>
          <w:vertAlign w:val="superscript"/>
        </w:rPr>
        <w:t>th</w:t>
      </w:r>
      <w:r>
        <w:rPr>
          <w:rFonts w:ascii="Arial" w:hAnsi="Arial" w:cs="Arial"/>
        </w:rPr>
        <w:t xml:space="preserve"> March 2020. As the situation has now changed (as indeed has the membership of the Committee) we are pleased to offer our views on the current proposals: but it must be said that we feel that we are somewhat short of information on the detail of </w:t>
      </w:r>
      <w:r w:rsidR="00C71B01">
        <w:rPr>
          <w:rFonts w:ascii="Arial" w:hAnsi="Arial" w:cs="Arial"/>
        </w:rPr>
        <w:t xml:space="preserve">exactly </w:t>
      </w:r>
      <w:r>
        <w:rPr>
          <w:rFonts w:ascii="Arial" w:hAnsi="Arial" w:cs="Arial"/>
        </w:rPr>
        <w:t>what is proposed.</w:t>
      </w:r>
    </w:p>
    <w:p w14:paraId="7F011FD6" w14:textId="4AE6B34B" w:rsidR="004661CD" w:rsidRDefault="00447B36" w:rsidP="00056307">
      <w:pPr>
        <w:pStyle w:val="BodyText"/>
        <w:ind w:left="-340" w:right="680"/>
        <w:contextualSpacing/>
        <w:jc w:val="both"/>
        <w:rPr>
          <w:rFonts w:ascii="Arial" w:hAnsi="Arial" w:cs="Arial"/>
          <w:sz w:val="24"/>
          <w:szCs w:val="24"/>
        </w:rPr>
      </w:pPr>
      <w:r>
        <w:rPr>
          <w:rFonts w:ascii="Arial" w:hAnsi="Arial" w:cs="Arial"/>
          <w:sz w:val="24"/>
          <w:szCs w:val="24"/>
        </w:rPr>
        <w:t>The new development may be a welcome recognition not only that the current arrangements for dealing with legacy issues are not working well for everyone but also that the 2018 proposals seemed doomed to make things worse rather than better. We have already described at length the defects in th</w:t>
      </w:r>
      <w:r w:rsidR="00EF3C6F">
        <w:rPr>
          <w:rFonts w:ascii="Arial" w:hAnsi="Arial" w:cs="Arial"/>
          <w:sz w:val="24"/>
          <w:szCs w:val="24"/>
        </w:rPr>
        <w:t>o</w:t>
      </w:r>
      <w:r>
        <w:rPr>
          <w:rFonts w:ascii="Arial" w:hAnsi="Arial" w:cs="Arial"/>
          <w:sz w:val="24"/>
          <w:szCs w:val="24"/>
        </w:rPr>
        <w:t>se proposals and</w:t>
      </w:r>
      <w:r w:rsidR="00EF3C6F">
        <w:rPr>
          <w:rFonts w:ascii="Arial" w:hAnsi="Arial" w:cs="Arial"/>
          <w:sz w:val="24"/>
          <w:szCs w:val="24"/>
        </w:rPr>
        <w:t xml:space="preserve"> we</w:t>
      </w:r>
      <w:r>
        <w:rPr>
          <w:rFonts w:ascii="Arial" w:hAnsi="Arial" w:cs="Arial"/>
          <w:sz w:val="24"/>
          <w:szCs w:val="24"/>
        </w:rPr>
        <w:t xml:space="preserve"> will not revisit our arguments here. The new proposals rightly seek to address the concerns of victims and survivors but must </w:t>
      </w:r>
      <w:r w:rsidR="00EF3C6F">
        <w:rPr>
          <w:rFonts w:ascii="Arial" w:hAnsi="Arial" w:cs="Arial"/>
          <w:sz w:val="24"/>
          <w:szCs w:val="24"/>
        </w:rPr>
        <w:t xml:space="preserve">in our view </w:t>
      </w:r>
      <w:r>
        <w:rPr>
          <w:rFonts w:ascii="Arial" w:hAnsi="Arial" w:cs="Arial"/>
          <w:sz w:val="24"/>
          <w:szCs w:val="24"/>
        </w:rPr>
        <w:t>do so without endangering the long-standing principle of equality before the law</w:t>
      </w:r>
      <w:r w:rsidR="00204262">
        <w:rPr>
          <w:rFonts w:ascii="Arial" w:hAnsi="Arial" w:cs="Arial"/>
          <w:sz w:val="24"/>
          <w:szCs w:val="24"/>
        </w:rPr>
        <w:t xml:space="preserve"> for all</w:t>
      </w:r>
      <w:r>
        <w:rPr>
          <w:rFonts w:ascii="Arial" w:hAnsi="Arial" w:cs="Arial"/>
          <w:sz w:val="24"/>
          <w:szCs w:val="24"/>
        </w:rPr>
        <w:t>.</w:t>
      </w:r>
    </w:p>
    <w:p w14:paraId="42D9E2FB" w14:textId="3BE58615" w:rsidR="00204262" w:rsidRDefault="00204262" w:rsidP="00056307">
      <w:pPr>
        <w:pStyle w:val="BodyText"/>
        <w:ind w:left="-340" w:right="680"/>
        <w:contextualSpacing/>
        <w:jc w:val="both"/>
        <w:rPr>
          <w:rFonts w:ascii="Arial" w:hAnsi="Arial" w:cs="Arial"/>
          <w:sz w:val="24"/>
          <w:szCs w:val="24"/>
        </w:rPr>
      </w:pPr>
    </w:p>
    <w:p w14:paraId="6F55B7BB" w14:textId="5CF7221A" w:rsidR="00204262" w:rsidRDefault="00204262" w:rsidP="00056307">
      <w:pPr>
        <w:pStyle w:val="BodyText"/>
        <w:ind w:left="-340" w:right="680"/>
        <w:contextualSpacing/>
        <w:jc w:val="both"/>
        <w:rPr>
          <w:rFonts w:ascii="Arial" w:hAnsi="Arial" w:cs="Arial"/>
          <w:sz w:val="24"/>
          <w:szCs w:val="24"/>
        </w:rPr>
      </w:pPr>
      <w:r>
        <w:rPr>
          <w:rFonts w:ascii="Arial" w:hAnsi="Arial" w:cs="Arial"/>
          <w:sz w:val="24"/>
          <w:szCs w:val="24"/>
        </w:rPr>
        <w:t xml:space="preserve">In view of current discussions on national legislation regarding the criminal liability of military veterans it </w:t>
      </w:r>
      <w:r w:rsidR="0060264E">
        <w:rPr>
          <w:rFonts w:ascii="Arial" w:hAnsi="Arial" w:cs="Arial"/>
          <w:sz w:val="24"/>
          <w:szCs w:val="24"/>
        </w:rPr>
        <w:t xml:space="preserve">now </w:t>
      </w:r>
      <w:r>
        <w:rPr>
          <w:rFonts w:ascii="Arial" w:hAnsi="Arial" w:cs="Arial"/>
          <w:sz w:val="24"/>
          <w:szCs w:val="24"/>
        </w:rPr>
        <w:t xml:space="preserve">seems clear that it may be possible in law to give a more appropriate level of emphasis to context; and we believe that this should also apply when considering legacy issues in Northern Ireland. We will elaborate on this aspect below, but a recognition of the importance of context should not be understood to equate to any </w:t>
      </w:r>
      <w:r w:rsidR="00AA5F0B">
        <w:rPr>
          <w:rFonts w:ascii="Arial" w:hAnsi="Arial" w:cs="Arial"/>
          <w:sz w:val="24"/>
          <w:szCs w:val="24"/>
        </w:rPr>
        <w:t xml:space="preserve">compromise of our oft-stated position in relation to </w:t>
      </w:r>
      <w:r w:rsidR="0021556A" w:rsidRPr="004710F8">
        <w:rPr>
          <w:rFonts w:ascii="Arial" w:hAnsi="Arial" w:cs="Arial"/>
          <w:sz w:val="24"/>
          <w:szCs w:val="24"/>
        </w:rPr>
        <w:t xml:space="preserve">the appropriateness of investigating </w:t>
      </w:r>
      <w:r w:rsidR="00AF6DA5" w:rsidRPr="004710F8">
        <w:rPr>
          <w:rFonts w:ascii="Arial" w:hAnsi="Arial" w:cs="Arial"/>
          <w:sz w:val="24"/>
          <w:szCs w:val="24"/>
        </w:rPr>
        <w:t xml:space="preserve">credible allegations of </w:t>
      </w:r>
      <w:r w:rsidR="00AA5F0B" w:rsidRPr="004710F8">
        <w:rPr>
          <w:rFonts w:ascii="Arial" w:hAnsi="Arial" w:cs="Arial"/>
          <w:sz w:val="24"/>
          <w:szCs w:val="24"/>
        </w:rPr>
        <w:t>criminal behaviour by serv</w:t>
      </w:r>
      <w:r w:rsidR="00AA5F0B">
        <w:rPr>
          <w:rFonts w:ascii="Arial" w:hAnsi="Arial" w:cs="Arial"/>
          <w:sz w:val="24"/>
          <w:szCs w:val="24"/>
        </w:rPr>
        <w:t>ing or retired police officers.</w:t>
      </w:r>
    </w:p>
    <w:p w14:paraId="24D90FCD" w14:textId="363FF427" w:rsidR="00AF6DA5" w:rsidRDefault="00AF6DA5" w:rsidP="00056307">
      <w:pPr>
        <w:pStyle w:val="BodyText"/>
        <w:ind w:left="-340" w:right="680"/>
        <w:contextualSpacing/>
        <w:jc w:val="both"/>
        <w:rPr>
          <w:rFonts w:ascii="Arial" w:hAnsi="Arial" w:cs="Arial"/>
          <w:sz w:val="24"/>
          <w:szCs w:val="24"/>
        </w:rPr>
      </w:pPr>
    </w:p>
    <w:p w14:paraId="4E865D59" w14:textId="659D470F" w:rsidR="00AF6DA5" w:rsidRDefault="00551758" w:rsidP="00056307">
      <w:pPr>
        <w:pStyle w:val="BodyText"/>
        <w:ind w:left="-340" w:right="680"/>
        <w:contextualSpacing/>
        <w:jc w:val="both"/>
        <w:rPr>
          <w:rFonts w:ascii="Arial" w:hAnsi="Arial" w:cs="Arial"/>
          <w:sz w:val="24"/>
          <w:szCs w:val="24"/>
        </w:rPr>
      </w:pPr>
      <w:r>
        <w:rPr>
          <w:rFonts w:ascii="Arial" w:hAnsi="Arial" w:cs="Arial"/>
          <w:sz w:val="24"/>
          <w:szCs w:val="24"/>
        </w:rPr>
        <w:t>The new proposals also present an opportunity to reconsider methods for creating some sort of official record or archive relating to the past. Whilst it is not at the forefront of the Association’s considerations, this issue is clearly one which gave rise to considerable public concern. It seemed to many that insufficient care had been taken</w:t>
      </w:r>
      <w:r w:rsidR="00EF3C6F">
        <w:rPr>
          <w:rFonts w:ascii="Arial" w:hAnsi="Arial" w:cs="Arial"/>
          <w:sz w:val="24"/>
          <w:szCs w:val="24"/>
        </w:rPr>
        <w:t xml:space="preserve"> in drafting the 2018 proposals</w:t>
      </w:r>
      <w:r>
        <w:rPr>
          <w:rFonts w:ascii="Arial" w:hAnsi="Arial" w:cs="Arial"/>
          <w:sz w:val="24"/>
          <w:szCs w:val="24"/>
        </w:rPr>
        <w:t xml:space="preserve"> to ensure that self-serving and self-exculpatory narratives would be prevented from dominating</w:t>
      </w:r>
      <w:r w:rsidR="00EF3C6F">
        <w:rPr>
          <w:rFonts w:ascii="Arial" w:hAnsi="Arial" w:cs="Arial"/>
          <w:sz w:val="24"/>
          <w:szCs w:val="24"/>
        </w:rPr>
        <w:t>;</w:t>
      </w:r>
      <w:r w:rsidR="007D25A3">
        <w:rPr>
          <w:rFonts w:ascii="Arial" w:hAnsi="Arial" w:cs="Arial"/>
          <w:sz w:val="24"/>
          <w:szCs w:val="24"/>
        </w:rPr>
        <w:t xml:space="preserve"> </w:t>
      </w:r>
      <w:r>
        <w:rPr>
          <w:rFonts w:ascii="Arial" w:hAnsi="Arial" w:cs="Arial"/>
          <w:sz w:val="24"/>
          <w:szCs w:val="24"/>
        </w:rPr>
        <w:t>and</w:t>
      </w:r>
      <w:r w:rsidR="0060264E">
        <w:rPr>
          <w:rFonts w:ascii="Arial" w:hAnsi="Arial" w:cs="Arial"/>
          <w:sz w:val="24"/>
          <w:szCs w:val="24"/>
        </w:rPr>
        <w:t xml:space="preserve"> </w:t>
      </w:r>
      <w:r w:rsidR="00EF3C6F">
        <w:rPr>
          <w:rFonts w:ascii="Arial" w:hAnsi="Arial" w:cs="Arial"/>
          <w:sz w:val="24"/>
          <w:szCs w:val="24"/>
        </w:rPr>
        <w:t xml:space="preserve">it </w:t>
      </w:r>
      <w:r w:rsidR="0060264E">
        <w:rPr>
          <w:rFonts w:ascii="Arial" w:hAnsi="Arial" w:cs="Arial"/>
          <w:sz w:val="24"/>
          <w:szCs w:val="24"/>
        </w:rPr>
        <w:t>even</w:t>
      </w:r>
      <w:r w:rsidR="00EF3C6F">
        <w:rPr>
          <w:rFonts w:ascii="Arial" w:hAnsi="Arial" w:cs="Arial"/>
          <w:sz w:val="24"/>
          <w:szCs w:val="24"/>
        </w:rPr>
        <w:t xml:space="preserve"> appeared possible</w:t>
      </w:r>
      <w:r>
        <w:rPr>
          <w:rFonts w:ascii="Arial" w:hAnsi="Arial" w:cs="Arial"/>
          <w:sz w:val="24"/>
          <w:szCs w:val="24"/>
        </w:rPr>
        <w:t xml:space="preserve"> that terrorist narratives </w:t>
      </w:r>
      <w:r w:rsidR="007D25A3">
        <w:rPr>
          <w:rFonts w:ascii="Arial" w:hAnsi="Arial" w:cs="Arial"/>
          <w:sz w:val="24"/>
          <w:szCs w:val="24"/>
        </w:rPr>
        <w:t>might</w:t>
      </w:r>
      <w:r>
        <w:rPr>
          <w:rFonts w:ascii="Arial" w:hAnsi="Arial" w:cs="Arial"/>
          <w:sz w:val="24"/>
          <w:szCs w:val="24"/>
        </w:rPr>
        <w:t xml:space="preserve"> be allowed to become a legitimate record of the past.</w:t>
      </w:r>
    </w:p>
    <w:p w14:paraId="3D721461" w14:textId="5C84A4FA" w:rsidR="00AA5F0B" w:rsidRDefault="00AA5F0B" w:rsidP="00056307">
      <w:pPr>
        <w:pStyle w:val="BodyText"/>
        <w:ind w:left="-340" w:right="680"/>
        <w:contextualSpacing/>
        <w:jc w:val="both"/>
        <w:rPr>
          <w:rFonts w:ascii="Arial" w:hAnsi="Arial" w:cs="Arial"/>
          <w:sz w:val="24"/>
          <w:szCs w:val="24"/>
        </w:rPr>
      </w:pPr>
    </w:p>
    <w:p w14:paraId="67B9FF8E" w14:textId="5313B47A" w:rsidR="00AA5F0B" w:rsidRDefault="007D25A3" w:rsidP="00056307">
      <w:pPr>
        <w:pStyle w:val="BodyText"/>
        <w:ind w:left="-340" w:right="680"/>
        <w:contextualSpacing/>
        <w:jc w:val="both"/>
        <w:rPr>
          <w:rFonts w:ascii="Arial" w:hAnsi="Arial" w:cs="Arial"/>
          <w:sz w:val="24"/>
          <w:szCs w:val="24"/>
        </w:rPr>
      </w:pPr>
      <w:r>
        <w:rPr>
          <w:rFonts w:ascii="Arial" w:hAnsi="Arial" w:cs="Arial"/>
          <w:sz w:val="24"/>
          <w:szCs w:val="24"/>
        </w:rPr>
        <w:t xml:space="preserve">Another widespread concern with the 2018 proposals was that they would create expectations which could never be fulfilled. It may well be that there already existed hopes and even unfounded expectations that actions by the </w:t>
      </w:r>
      <w:r w:rsidR="00107ADD">
        <w:rPr>
          <w:rFonts w:ascii="Arial" w:hAnsi="Arial" w:cs="Arial"/>
          <w:sz w:val="24"/>
          <w:szCs w:val="24"/>
        </w:rPr>
        <w:t>G</w:t>
      </w:r>
      <w:r>
        <w:rPr>
          <w:rFonts w:ascii="Arial" w:hAnsi="Arial" w:cs="Arial"/>
          <w:sz w:val="24"/>
          <w:szCs w:val="24"/>
        </w:rPr>
        <w:t xml:space="preserve">overnment or other public authorities could deliver in important areas which are variously described as truth, justice, reconciliation and closure. Any new programme must </w:t>
      </w:r>
      <w:r w:rsidR="0060264E">
        <w:rPr>
          <w:rFonts w:ascii="Arial" w:hAnsi="Arial" w:cs="Arial"/>
          <w:sz w:val="24"/>
          <w:szCs w:val="24"/>
        </w:rPr>
        <w:t xml:space="preserve">of course </w:t>
      </w:r>
      <w:r>
        <w:rPr>
          <w:rFonts w:ascii="Arial" w:hAnsi="Arial" w:cs="Arial"/>
          <w:sz w:val="24"/>
          <w:szCs w:val="24"/>
        </w:rPr>
        <w:t xml:space="preserve">be ambitious and </w:t>
      </w:r>
      <w:r w:rsidR="0060264E">
        <w:rPr>
          <w:rFonts w:ascii="Arial" w:hAnsi="Arial" w:cs="Arial"/>
          <w:sz w:val="24"/>
          <w:szCs w:val="24"/>
        </w:rPr>
        <w:t xml:space="preserve">it </w:t>
      </w:r>
      <w:r>
        <w:rPr>
          <w:rFonts w:ascii="Arial" w:hAnsi="Arial" w:cs="Arial"/>
          <w:sz w:val="24"/>
          <w:szCs w:val="24"/>
        </w:rPr>
        <w:t>must seek to secure public support, but that support should not</w:t>
      </w:r>
      <w:r w:rsidR="0078349F">
        <w:rPr>
          <w:rFonts w:ascii="Arial" w:hAnsi="Arial" w:cs="Arial"/>
          <w:sz w:val="24"/>
          <w:szCs w:val="24"/>
        </w:rPr>
        <w:t xml:space="preserve"> be</w:t>
      </w:r>
      <w:r>
        <w:rPr>
          <w:rFonts w:ascii="Arial" w:hAnsi="Arial" w:cs="Arial"/>
          <w:sz w:val="24"/>
          <w:szCs w:val="24"/>
        </w:rPr>
        <w:t xml:space="preserve"> sought at the expense of an open</w:t>
      </w:r>
      <w:r w:rsidR="0060264E">
        <w:rPr>
          <w:rFonts w:ascii="Arial" w:hAnsi="Arial" w:cs="Arial"/>
          <w:sz w:val="24"/>
          <w:szCs w:val="24"/>
        </w:rPr>
        <w:t xml:space="preserve"> and </w:t>
      </w:r>
      <w:r w:rsidR="009F645F" w:rsidRPr="004710F8">
        <w:rPr>
          <w:rFonts w:ascii="Arial" w:hAnsi="Arial" w:cs="Arial"/>
          <w:sz w:val="24"/>
          <w:szCs w:val="24"/>
        </w:rPr>
        <w:t>candid</w:t>
      </w:r>
      <w:r>
        <w:rPr>
          <w:rFonts w:ascii="Arial" w:hAnsi="Arial" w:cs="Arial"/>
          <w:sz w:val="24"/>
          <w:szCs w:val="24"/>
        </w:rPr>
        <w:t xml:space="preserve"> approach by </w:t>
      </w:r>
      <w:r w:rsidR="00107ADD">
        <w:rPr>
          <w:rFonts w:ascii="Arial" w:hAnsi="Arial" w:cs="Arial"/>
          <w:sz w:val="24"/>
          <w:szCs w:val="24"/>
        </w:rPr>
        <w:t>G</w:t>
      </w:r>
      <w:r>
        <w:rPr>
          <w:rFonts w:ascii="Arial" w:hAnsi="Arial" w:cs="Arial"/>
          <w:sz w:val="24"/>
          <w:szCs w:val="24"/>
        </w:rPr>
        <w:t>overnment to the practical realities of dealing with historical matters.</w:t>
      </w:r>
    </w:p>
    <w:p w14:paraId="5BEFE362" w14:textId="019202B7" w:rsidR="007D25A3" w:rsidRDefault="007D25A3" w:rsidP="00056307">
      <w:pPr>
        <w:pStyle w:val="BodyText"/>
        <w:ind w:left="-340" w:right="680"/>
        <w:contextualSpacing/>
        <w:jc w:val="both"/>
        <w:rPr>
          <w:rFonts w:ascii="Arial" w:hAnsi="Arial" w:cs="Arial"/>
          <w:sz w:val="24"/>
          <w:szCs w:val="24"/>
        </w:rPr>
      </w:pPr>
    </w:p>
    <w:p w14:paraId="597ED948" w14:textId="0450A343" w:rsidR="00B00719" w:rsidRDefault="00B00719" w:rsidP="00056307">
      <w:pPr>
        <w:pStyle w:val="BodyText"/>
        <w:ind w:left="-340" w:right="680"/>
        <w:contextualSpacing/>
        <w:jc w:val="both"/>
        <w:rPr>
          <w:rFonts w:ascii="Arial" w:hAnsi="Arial" w:cs="Arial"/>
          <w:sz w:val="24"/>
          <w:szCs w:val="24"/>
        </w:rPr>
      </w:pPr>
      <w:r>
        <w:rPr>
          <w:rFonts w:ascii="Arial" w:hAnsi="Arial" w:cs="Arial"/>
          <w:sz w:val="24"/>
          <w:szCs w:val="24"/>
        </w:rPr>
        <w:t xml:space="preserve">The new proposals appear to envisage dealing with two distinct elements of legacy through one body. We say that careful thought needs to be given to whether it is </w:t>
      </w:r>
      <w:r w:rsidR="00DE690F" w:rsidRPr="004710F8">
        <w:rPr>
          <w:rFonts w:ascii="Arial" w:hAnsi="Arial" w:cs="Arial"/>
          <w:sz w:val="24"/>
          <w:szCs w:val="24"/>
        </w:rPr>
        <w:t xml:space="preserve">feasible </w:t>
      </w:r>
      <w:r w:rsidRPr="004710F8">
        <w:rPr>
          <w:rFonts w:ascii="Arial" w:hAnsi="Arial" w:cs="Arial"/>
          <w:sz w:val="24"/>
          <w:szCs w:val="24"/>
        </w:rPr>
        <w:t>and appropriate to ask a single unified body to address issues</w:t>
      </w:r>
      <w:r w:rsidR="00DE690F" w:rsidRPr="004710F8">
        <w:rPr>
          <w:rFonts w:ascii="Arial" w:hAnsi="Arial" w:cs="Arial"/>
          <w:sz w:val="24"/>
          <w:szCs w:val="24"/>
        </w:rPr>
        <w:t xml:space="preserve"> as diverse and complex</w:t>
      </w:r>
      <w:r w:rsidRPr="004710F8">
        <w:rPr>
          <w:rFonts w:ascii="Arial" w:hAnsi="Arial" w:cs="Arial"/>
          <w:sz w:val="24"/>
          <w:szCs w:val="24"/>
        </w:rPr>
        <w:t xml:space="preserve"> </w:t>
      </w:r>
      <w:r w:rsidR="00DE690F" w:rsidRPr="004710F8">
        <w:rPr>
          <w:rFonts w:ascii="Arial" w:hAnsi="Arial" w:cs="Arial"/>
          <w:sz w:val="24"/>
          <w:szCs w:val="24"/>
        </w:rPr>
        <w:t>as</w:t>
      </w:r>
      <w:r w:rsidRPr="004710F8">
        <w:rPr>
          <w:rFonts w:ascii="Arial" w:hAnsi="Arial" w:cs="Arial"/>
          <w:sz w:val="24"/>
          <w:szCs w:val="24"/>
        </w:rPr>
        <w:t xml:space="preserve"> criminal investigation and information recovery. </w:t>
      </w:r>
      <w:r w:rsidR="00DE690F" w:rsidRPr="004710F8">
        <w:rPr>
          <w:rFonts w:ascii="Arial" w:hAnsi="Arial" w:cs="Arial"/>
          <w:sz w:val="24"/>
          <w:szCs w:val="24"/>
        </w:rPr>
        <w:t>If such an approach is to be adopted then it should only be undertaken after a</w:t>
      </w:r>
      <w:r w:rsidRPr="004710F8">
        <w:rPr>
          <w:rFonts w:ascii="Arial" w:hAnsi="Arial" w:cs="Arial"/>
          <w:sz w:val="24"/>
          <w:szCs w:val="24"/>
        </w:rPr>
        <w:t xml:space="preserve"> rigorous analysis of the experience </w:t>
      </w:r>
      <w:r w:rsidR="00A27727" w:rsidRPr="004710F8">
        <w:rPr>
          <w:rFonts w:ascii="Arial" w:hAnsi="Arial" w:cs="Arial"/>
          <w:sz w:val="24"/>
          <w:szCs w:val="24"/>
        </w:rPr>
        <w:t>and hard lessons learned by</w:t>
      </w:r>
      <w:r w:rsidRPr="004710F8">
        <w:rPr>
          <w:rFonts w:ascii="Arial" w:hAnsi="Arial" w:cs="Arial"/>
          <w:sz w:val="24"/>
          <w:szCs w:val="24"/>
        </w:rPr>
        <w:t xml:space="preserve"> the Historical Enquiries Team (HET), the </w:t>
      </w:r>
      <w:r w:rsidRPr="004710F8">
        <w:rPr>
          <w:rFonts w:ascii="Arial" w:hAnsi="Arial" w:cs="Arial"/>
          <w:sz w:val="24"/>
          <w:szCs w:val="24"/>
        </w:rPr>
        <w:lastRenderedPageBreak/>
        <w:t xml:space="preserve">office of the Police Ombudsman for Northern Ireland (PONI) and the PSNI’s Legacy Investigation Branch (LIB), </w:t>
      </w:r>
      <w:r w:rsidR="00A27727" w:rsidRPr="004710F8">
        <w:rPr>
          <w:rFonts w:ascii="Arial" w:hAnsi="Arial" w:cs="Arial"/>
          <w:sz w:val="24"/>
          <w:szCs w:val="24"/>
        </w:rPr>
        <w:t xml:space="preserve">for it is only on that basis that </w:t>
      </w:r>
      <w:r w:rsidRPr="004710F8">
        <w:rPr>
          <w:rFonts w:ascii="Arial" w:hAnsi="Arial" w:cs="Arial"/>
          <w:sz w:val="24"/>
          <w:szCs w:val="24"/>
        </w:rPr>
        <w:t>a precise statement of what it is hoped to achieve with the new body</w:t>
      </w:r>
      <w:r w:rsidR="00A27727" w:rsidRPr="004710F8">
        <w:rPr>
          <w:rFonts w:ascii="Arial" w:hAnsi="Arial" w:cs="Arial"/>
          <w:sz w:val="24"/>
          <w:szCs w:val="24"/>
        </w:rPr>
        <w:t xml:space="preserve"> may be formulated</w:t>
      </w:r>
      <w:r w:rsidRPr="004710F8">
        <w:rPr>
          <w:rFonts w:ascii="Arial" w:hAnsi="Arial" w:cs="Arial"/>
          <w:sz w:val="24"/>
          <w:szCs w:val="24"/>
        </w:rPr>
        <w:t>.</w:t>
      </w:r>
    </w:p>
    <w:p w14:paraId="2EAB64C7" w14:textId="0045F5CC" w:rsidR="00B00719" w:rsidRDefault="00B00719" w:rsidP="00056307">
      <w:pPr>
        <w:pStyle w:val="BodyText"/>
        <w:ind w:left="-340" w:right="680"/>
        <w:contextualSpacing/>
        <w:jc w:val="both"/>
        <w:rPr>
          <w:rFonts w:ascii="Arial" w:hAnsi="Arial" w:cs="Arial"/>
          <w:sz w:val="24"/>
          <w:szCs w:val="24"/>
        </w:rPr>
      </w:pPr>
    </w:p>
    <w:p w14:paraId="4AE03CE7" w14:textId="6C238C5F" w:rsidR="0006291A" w:rsidRDefault="00AE6687" w:rsidP="0006291A">
      <w:pPr>
        <w:pStyle w:val="BodyText"/>
        <w:ind w:left="-340" w:right="680"/>
        <w:contextualSpacing/>
        <w:jc w:val="both"/>
        <w:rPr>
          <w:rFonts w:ascii="Arial" w:hAnsi="Arial" w:cs="Arial"/>
          <w:sz w:val="24"/>
          <w:szCs w:val="24"/>
        </w:rPr>
      </w:pPr>
      <w:r>
        <w:rPr>
          <w:rFonts w:ascii="Arial" w:hAnsi="Arial" w:cs="Arial"/>
          <w:sz w:val="24"/>
          <w:szCs w:val="24"/>
        </w:rPr>
        <w:t>Such analysis must necessarily consider funding, personnel and training issues, timescales and criteria for identifying success or failure. There will of course also be political considerations which will need to be addressed boldly if any practical success is to be achieved.</w:t>
      </w:r>
      <w:r w:rsidR="00884431">
        <w:rPr>
          <w:rFonts w:ascii="Arial" w:hAnsi="Arial" w:cs="Arial"/>
          <w:sz w:val="24"/>
          <w:szCs w:val="24"/>
        </w:rPr>
        <w:t xml:space="preserve"> </w:t>
      </w:r>
      <w:r w:rsidR="00A80EF9">
        <w:rPr>
          <w:rFonts w:ascii="Arial" w:hAnsi="Arial" w:cs="Arial"/>
          <w:sz w:val="24"/>
          <w:szCs w:val="24"/>
        </w:rPr>
        <w:t>In addressing the specific questions posed by the Committee w</w:t>
      </w:r>
      <w:r w:rsidR="00884431">
        <w:rPr>
          <w:rFonts w:ascii="Arial" w:hAnsi="Arial" w:cs="Arial"/>
          <w:sz w:val="24"/>
          <w:szCs w:val="24"/>
        </w:rPr>
        <w:t xml:space="preserve">e set out </w:t>
      </w:r>
      <w:r w:rsidR="00C47F60">
        <w:rPr>
          <w:rFonts w:ascii="Arial" w:hAnsi="Arial" w:cs="Arial"/>
          <w:sz w:val="24"/>
          <w:szCs w:val="24"/>
        </w:rPr>
        <w:t xml:space="preserve">below </w:t>
      </w:r>
      <w:r w:rsidR="00884431">
        <w:rPr>
          <w:rFonts w:ascii="Arial" w:hAnsi="Arial" w:cs="Arial"/>
          <w:sz w:val="24"/>
          <w:szCs w:val="24"/>
        </w:rPr>
        <w:t>our views on how</w:t>
      </w:r>
      <w:r w:rsidR="00C47F60">
        <w:rPr>
          <w:rFonts w:ascii="Arial" w:hAnsi="Arial" w:cs="Arial"/>
          <w:sz w:val="24"/>
          <w:szCs w:val="24"/>
        </w:rPr>
        <w:t xml:space="preserve"> the practical aspects of</w:t>
      </w:r>
      <w:r w:rsidR="00884431">
        <w:rPr>
          <w:rFonts w:ascii="Arial" w:hAnsi="Arial" w:cs="Arial"/>
          <w:sz w:val="24"/>
          <w:szCs w:val="24"/>
        </w:rPr>
        <w:t xml:space="preserve"> this might be handle</w:t>
      </w:r>
      <w:r w:rsidR="00C47F60">
        <w:rPr>
          <w:rFonts w:ascii="Arial" w:hAnsi="Arial" w:cs="Arial"/>
          <w:sz w:val="24"/>
          <w:szCs w:val="24"/>
        </w:rPr>
        <w:t>d</w:t>
      </w:r>
      <w:r w:rsidR="00884431">
        <w:rPr>
          <w:rFonts w:ascii="Arial" w:hAnsi="Arial" w:cs="Arial"/>
          <w:sz w:val="24"/>
          <w:szCs w:val="24"/>
        </w:rPr>
        <w:t>.</w:t>
      </w:r>
    </w:p>
    <w:p w14:paraId="4D1ADBC5" w14:textId="77777777" w:rsidR="0006291A" w:rsidRDefault="0006291A" w:rsidP="0006291A">
      <w:pPr>
        <w:pStyle w:val="BodyText"/>
        <w:ind w:left="-340" w:right="680"/>
        <w:contextualSpacing/>
        <w:jc w:val="both"/>
        <w:rPr>
          <w:rFonts w:ascii="Arial" w:hAnsi="Arial" w:cs="Arial"/>
          <w:sz w:val="24"/>
          <w:szCs w:val="24"/>
        </w:rPr>
      </w:pPr>
    </w:p>
    <w:p w14:paraId="21507C72" w14:textId="77777777" w:rsidR="0006291A" w:rsidRDefault="0006291A" w:rsidP="0006291A">
      <w:pPr>
        <w:pStyle w:val="BodyText"/>
        <w:ind w:left="-340" w:right="680"/>
        <w:contextualSpacing/>
        <w:jc w:val="both"/>
        <w:rPr>
          <w:rFonts w:ascii="Arial" w:hAnsi="Arial" w:cs="Arial"/>
          <w:sz w:val="24"/>
          <w:szCs w:val="24"/>
        </w:rPr>
      </w:pPr>
    </w:p>
    <w:p w14:paraId="6EDCBCE8" w14:textId="178D4303" w:rsidR="00166515" w:rsidRPr="0006291A" w:rsidRDefault="00744176" w:rsidP="0006291A">
      <w:pPr>
        <w:pStyle w:val="BodyText"/>
        <w:ind w:left="-340" w:right="680"/>
        <w:contextualSpacing/>
        <w:jc w:val="both"/>
        <w:rPr>
          <w:rFonts w:ascii="Arial" w:hAnsi="Arial" w:cs="Arial"/>
          <w:sz w:val="24"/>
          <w:szCs w:val="24"/>
          <w:u w:val="single"/>
        </w:rPr>
      </w:pPr>
      <w:r w:rsidRPr="0006291A">
        <w:rPr>
          <w:rFonts w:ascii="Arial" w:eastAsia="Times New Roman" w:hAnsi="Arial" w:cs="Arial"/>
          <w:i/>
          <w:iCs/>
          <w:sz w:val="24"/>
          <w:szCs w:val="24"/>
          <w:u w:val="single"/>
          <w:lang w:eastAsia="en-GB"/>
        </w:rPr>
        <w:t>Whether the Government’s proposed approach will meet the needs of victims, survivors and their families;</w:t>
      </w:r>
    </w:p>
    <w:p w14:paraId="7C1760AE" w14:textId="6197F2ED" w:rsidR="00884431" w:rsidRDefault="00884431" w:rsidP="00166515">
      <w:pPr>
        <w:widowControl/>
        <w:spacing w:after="120"/>
        <w:ind w:left="-340" w:right="680"/>
        <w:contextualSpacing/>
        <w:jc w:val="both"/>
        <w:rPr>
          <w:rFonts w:ascii="Arial" w:eastAsia="Times New Roman" w:hAnsi="Arial" w:cs="Arial"/>
          <w:color w:val="000000"/>
          <w:sz w:val="24"/>
          <w:szCs w:val="24"/>
          <w:lang w:eastAsia="en-GB"/>
        </w:rPr>
      </w:pPr>
    </w:p>
    <w:p w14:paraId="63032D21" w14:textId="77777777" w:rsidR="00196FDB" w:rsidRDefault="00B64672"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first step towards meeting the needs of victims, survivors and their families would be to recognise that this constituency covers a large and diverse range of individuals and groups. The real and perceived needs of such individuals vary significantly, even within identified groups.</w:t>
      </w:r>
      <w:r w:rsidR="00196FDB">
        <w:rPr>
          <w:rFonts w:ascii="Arial" w:eastAsia="Times New Roman" w:hAnsi="Arial" w:cs="Arial"/>
          <w:color w:val="000000"/>
          <w:sz w:val="24"/>
          <w:szCs w:val="24"/>
          <w:lang w:eastAsia="en-GB"/>
        </w:rPr>
        <w:t xml:space="preserve"> Any genuine effort to ‘meet the needs’ of such people would be a worthy undertaking, but its complexity should not be underestimated.</w:t>
      </w:r>
    </w:p>
    <w:p w14:paraId="41006235" w14:textId="77777777" w:rsidR="00196FDB" w:rsidRDefault="00196FDB" w:rsidP="00166515">
      <w:pPr>
        <w:widowControl/>
        <w:spacing w:after="120"/>
        <w:ind w:left="-340" w:right="680"/>
        <w:contextualSpacing/>
        <w:jc w:val="both"/>
        <w:rPr>
          <w:rFonts w:ascii="Arial" w:eastAsia="Times New Roman" w:hAnsi="Arial" w:cs="Arial"/>
          <w:color w:val="000000"/>
          <w:sz w:val="24"/>
          <w:szCs w:val="24"/>
          <w:lang w:eastAsia="en-GB"/>
        </w:rPr>
      </w:pPr>
    </w:p>
    <w:p w14:paraId="33CC973C" w14:textId="46CE5F9F" w:rsidR="005C2A9E" w:rsidRDefault="00196FDB"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are of course the well-known and well-rehearsed political arguments about what constitutes a ‘victim’, but even if those arguments were to be amicably resolved there would remain groups of victims (and survivors and families) who perceived themselves to have merits and interests which differed from those of other groups. This goes beyond the traditional ‘sides’ or ‘communities’ in Northern Ireland; it goes beyond whether the groups came from law-abiding sections of society or otherwise; and even within groups</w:t>
      </w:r>
      <w:r w:rsidR="00485E5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even within families</w:t>
      </w:r>
      <w:r w:rsidR="00485E5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needs and aspirations can vary. Therefore, as far as it is compatible with the principles of equality before the law, any strategy to meet the needs of victims must be sufficiently flexible to address the concerns of differing individuals.</w:t>
      </w:r>
      <w:r w:rsidR="005C2A9E">
        <w:rPr>
          <w:rFonts w:ascii="Arial" w:eastAsia="Times New Roman" w:hAnsi="Arial" w:cs="Arial"/>
          <w:color w:val="000000"/>
          <w:sz w:val="24"/>
          <w:szCs w:val="24"/>
          <w:lang w:eastAsia="en-GB"/>
        </w:rPr>
        <w:t xml:space="preserve"> The appropriate balance between compassion, realism and firmness in approach will vary according not only to the facts of the case but also according to whether the victim, survivor o</w:t>
      </w:r>
      <w:r w:rsidR="00485E52">
        <w:rPr>
          <w:rFonts w:ascii="Arial" w:eastAsia="Times New Roman" w:hAnsi="Arial" w:cs="Arial"/>
          <w:color w:val="000000"/>
          <w:sz w:val="24"/>
          <w:szCs w:val="24"/>
          <w:lang w:eastAsia="en-GB"/>
        </w:rPr>
        <w:t>r</w:t>
      </w:r>
      <w:r w:rsidR="005C2A9E">
        <w:rPr>
          <w:rFonts w:ascii="Arial" w:eastAsia="Times New Roman" w:hAnsi="Arial" w:cs="Arial"/>
          <w:color w:val="000000"/>
          <w:sz w:val="24"/>
          <w:szCs w:val="24"/>
          <w:lang w:eastAsia="en-GB"/>
        </w:rPr>
        <w:t xml:space="preserve"> family member is hoping for a new investigation, a prosecution, some factual information or</w:t>
      </w:r>
      <w:r w:rsidR="003C0251" w:rsidRPr="00A55743">
        <w:rPr>
          <w:rFonts w:ascii="Arial" w:eastAsia="Times New Roman" w:hAnsi="Arial" w:cs="Arial"/>
          <w:color w:val="000000"/>
          <w:sz w:val="24"/>
          <w:szCs w:val="24"/>
          <w:lang w:eastAsia="en-GB"/>
        </w:rPr>
        <w:t>, perhaps as importantly,</w:t>
      </w:r>
      <w:r w:rsidR="005C2A9E" w:rsidRPr="00A55743">
        <w:rPr>
          <w:rFonts w:ascii="Arial" w:eastAsia="Times New Roman" w:hAnsi="Arial" w:cs="Arial"/>
          <w:color w:val="000000"/>
          <w:sz w:val="24"/>
          <w:szCs w:val="24"/>
          <w:lang w:eastAsia="en-GB"/>
        </w:rPr>
        <w:t xml:space="preserve"> </w:t>
      </w:r>
      <w:r w:rsidR="003C0251" w:rsidRPr="00A55743">
        <w:rPr>
          <w:rFonts w:ascii="Arial" w:eastAsia="Times New Roman" w:hAnsi="Arial" w:cs="Arial"/>
          <w:color w:val="000000"/>
          <w:sz w:val="24"/>
          <w:szCs w:val="24"/>
          <w:lang w:eastAsia="en-GB"/>
        </w:rPr>
        <w:t>just</w:t>
      </w:r>
      <w:r w:rsidR="005C2A9E">
        <w:rPr>
          <w:rFonts w:ascii="Arial" w:eastAsia="Times New Roman" w:hAnsi="Arial" w:cs="Arial"/>
          <w:color w:val="000000"/>
          <w:sz w:val="24"/>
          <w:szCs w:val="24"/>
          <w:lang w:eastAsia="en-GB"/>
        </w:rPr>
        <w:t xml:space="preserve"> to be left in peace.</w:t>
      </w:r>
    </w:p>
    <w:p w14:paraId="5B87F783" w14:textId="0A2F52C1" w:rsidR="00485E52" w:rsidRDefault="00485E52" w:rsidP="00166515">
      <w:pPr>
        <w:widowControl/>
        <w:spacing w:after="120"/>
        <w:ind w:left="-340" w:right="680"/>
        <w:contextualSpacing/>
        <w:jc w:val="both"/>
        <w:rPr>
          <w:rFonts w:ascii="Arial" w:eastAsia="Times New Roman" w:hAnsi="Arial" w:cs="Arial"/>
          <w:color w:val="000000"/>
          <w:sz w:val="24"/>
          <w:szCs w:val="24"/>
          <w:lang w:eastAsia="en-GB"/>
        </w:rPr>
      </w:pPr>
    </w:p>
    <w:p w14:paraId="54867ABF" w14:textId="5CCA48F3" w:rsidR="00485E52" w:rsidRDefault="005749F9"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Of course there will be potential inhibiting factors in delivering for victims, whether by the route of the criminal justice system or by information recovery and dissemination, over which the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overnment and the legislation will have little control. This could include obstruction by paramilitaries or their sympathisers in Northern Ireland and beyond or by foreign governments. Any such difficulties should not be regarded as a reason for failure to seek to deliver for victims.</w:t>
      </w:r>
    </w:p>
    <w:p w14:paraId="5F3AD0F9" w14:textId="4526B2E7" w:rsidR="005749F9" w:rsidRDefault="005749F9" w:rsidP="00166515">
      <w:pPr>
        <w:widowControl/>
        <w:spacing w:after="120"/>
        <w:ind w:left="-340" w:right="680"/>
        <w:contextualSpacing/>
        <w:jc w:val="both"/>
        <w:rPr>
          <w:rFonts w:ascii="Arial" w:eastAsia="Times New Roman" w:hAnsi="Arial" w:cs="Arial"/>
          <w:color w:val="000000"/>
          <w:sz w:val="24"/>
          <w:szCs w:val="24"/>
          <w:lang w:eastAsia="en-GB"/>
        </w:rPr>
      </w:pPr>
    </w:p>
    <w:p w14:paraId="78AA22E1" w14:textId="78E20E35" w:rsidR="003C0251" w:rsidRPr="00A55743" w:rsidRDefault="003C0251" w:rsidP="00166515">
      <w:pPr>
        <w:widowControl/>
        <w:spacing w:after="120"/>
        <w:ind w:left="-340" w:right="680"/>
        <w:contextualSpacing/>
        <w:jc w:val="both"/>
        <w:rPr>
          <w:rFonts w:ascii="Arial" w:eastAsia="Times New Roman" w:hAnsi="Arial" w:cs="Arial"/>
          <w:color w:val="000000"/>
          <w:sz w:val="24"/>
          <w:szCs w:val="24"/>
          <w:lang w:eastAsia="en-GB"/>
        </w:rPr>
      </w:pPr>
      <w:r w:rsidRPr="00A55743">
        <w:rPr>
          <w:rFonts w:ascii="Arial" w:eastAsia="Times New Roman" w:hAnsi="Arial" w:cs="Arial"/>
          <w:color w:val="000000"/>
          <w:sz w:val="24"/>
          <w:szCs w:val="24"/>
          <w:lang w:eastAsia="en-GB"/>
        </w:rPr>
        <w:t xml:space="preserve">If the desire to deliver meaningful information recovery for the benefit of victims, survivors and in particular for families is to be effectively fulfilled then the domestic legislation will need to be supported by treaty obligations which oblige the </w:t>
      </w:r>
      <w:r w:rsidR="00A04931" w:rsidRPr="00A55743">
        <w:rPr>
          <w:rFonts w:ascii="Arial" w:eastAsia="Times New Roman" w:hAnsi="Arial" w:cs="Arial"/>
          <w:color w:val="000000"/>
          <w:sz w:val="24"/>
          <w:szCs w:val="24"/>
          <w:lang w:eastAsia="en-GB"/>
        </w:rPr>
        <w:t>G</w:t>
      </w:r>
      <w:r w:rsidRPr="00A55743">
        <w:rPr>
          <w:rFonts w:ascii="Arial" w:eastAsia="Times New Roman" w:hAnsi="Arial" w:cs="Arial"/>
          <w:color w:val="000000"/>
          <w:sz w:val="24"/>
          <w:szCs w:val="24"/>
          <w:lang w:eastAsia="en-GB"/>
        </w:rPr>
        <w:t>overnment of the Republic of Ireland</w:t>
      </w:r>
      <w:r w:rsidR="00A04931" w:rsidRPr="00A55743">
        <w:rPr>
          <w:rFonts w:ascii="Arial" w:eastAsia="Times New Roman" w:hAnsi="Arial" w:cs="Arial"/>
          <w:color w:val="000000"/>
          <w:sz w:val="24"/>
          <w:szCs w:val="24"/>
          <w:lang w:eastAsia="en-GB"/>
        </w:rPr>
        <w:t xml:space="preserve"> to play a positive and proactive role. There remains considerable concern within the victim communities</w:t>
      </w:r>
      <w:r w:rsidR="00082A43" w:rsidRPr="00A55743">
        <w:rPr>
          <w:rFonts w:ascii="Arial" w:eastAsia="Times New Roman" w:hAnsi="Arial" w:cs="Arial"/>
          <w:color w:val="000000"/>
          <w:sz w:val="24"/>
          <w:szCs w:val="24"/>
          <w:lang w:eastAsia="en-GB"/>
        </w:rPr>
        <w:t xml:space="preserve"> here</w:t>
      </w:r>
      <w:r w:rsidR="00A04931" w:rsidRPr="00A55743">
        <w:rPr>
          <w:rFonts w:ascii="Arial" w:eastAsia="Times New Roman" w:hAnsi="Arial" w:cs="Arial"/>
          <w:color w:val="000000"/>
          <w:sz w:val="24"/>
          <w:szCs w:val="24"/>
          <w:lang w:eastAsia="en-GB"/>
        </w:rPr>
        <w:t xml:space="preserve"> about the manner in which the terrorists were able to shelter personnel and weapons in the ROI and </w:t>
      </w:r>
      <w:r w:rsidR="00082A43" w:rsidRPr="00A55743">
        <w:rPr>
          <w:rFonts w:ascii="Arial" w:eastAsia="Times New Roman" w:hAnsi="Arial" w:cs="Arial"/>
          <w:color w:val="000000"/>
          <w:sz w:val="24"/>
          <w:szCs w:val="24"/>
          <w:lang w:eastAsia="en-GB"/>
        </w:rPr>
        <w:t xml:space="preserve">to </w:t>
      </w:r>
      <w:r w:rsidR="00A04931" w:rsidRPr="00A55743">
        <w:rPr>
          <w:rFonts w:ascii="Arial" w:eastAsia="Times New Roman" w:hAnsi="Arial" w:cs="Arial"/>
          <w:color w:val="000000"/>
          <w:sz w:val="24"/>
          <w:szCs w:val="24"/>
          <w:lang w:eastAsia="en-GB"/>
        </w:rPr>
        <w:t>cross</w:t>
      </w:r>
      <w:r w:rsidR="0039661B" w:rsidRPr="00A55743">
        <w:rPr>
          <w:rFonts w:ascii="Arial" w:eastAsia="Times New Roman" w:hAnsi="Arial" w:cs="Arial"/>
          <w:color w:val="000000"/>
          <w:sz w:val="24"/>
          <w:szCs w:val="24"/>
          <w:lang w:eastAsia="en-GB"/>
        </w:rPr>
        <w:t xml:space="preserve"> and re-cross</w:t>
      </w:r>
      <w:r w:rsidR="00A04931" w:rsidRPr="00A55743">
        <w:rPr>
          <w:rFonts w:ascii="Arial" w:eastAsia="Times New Roman" w:hAnsi="Arial" w:cs="Arial"/>
          <w:color w:val="000000"/>
          <w:sz w:val="24"/>
          <w:szCs w:val="24"/>
          <w:lang w:eastAsia="en-GB"/>
        </w:rPr>
        <w:t xml:space="preserve"> the border with apparent ease in order to launch murderous sectarian attacks.  </w:t>
      </w:r>
    </w:p>
    <w:p w14:paraId="1AE07B9B" w14:textId="77777777" w:rsidR="003C0251" w:rsidRPr="00A55743" w:rsidRDefault="003C0251" w:rsidP="00166515">
      <w:pPr>
        <w:widowControl/>
        <w:spacing w:after="120"/>
        <w:ind w:left="-340" w:right="680"/>
        <w:contextualSpacing/>
        <w:jc w:val="both"/>
        <w:rPr>
          <w:rFonts w:ascii="Arial" w:eastAsia="Times New Roman" w:hAnsi="Arial" w:cs="Arial"/>
          <w:color w:val="000000"/>
          <w:sz w:val="24"/>
          <w:szCs w:val="24"/>
          <w:lang w:eastAsia="en-GB"/>
        </w:rPr>
      </w:pPr>
    </w:p>
    <w:p w14:paraId="4F5646C3" w14:textId="0B496D43" w:rsidR="005749F9" w:rsidRDefault="00B138C2" w:rsidP="00166515">
      <w:pPr>
        <w:widowControl/>
        <w:spacing w:after="120"/>
        <w:ind w:left="-340" w:right="680"/>
        <w:contextualSpacing/>
        <w:jc w:val="both"/>
        <w:rPr>
          <w:rFonts w:ascii="Arial" w:eastAsia="Times New Roman" w:hAnsi="Arial" w:cs="Arial"/>
          <w:color w:val="000000"/>
          <w:sz w:val="24"/>
          <w:szCs w:val="24"/>
          <w:lang w:eastAsia="en-GB"/>
        </w:rPr>
      </w:pPr>
      <w:r w:rsidRPr="00A55743">
        <w:rPr>
          <w:rFonts w:ascii="Arial" w:eastAsia="Times New Roman" w:hAnsi="Arial" w:cs="Arial"/>
          <w:color w:val="000000"/>
          <w:sz w:val="24"/>
          <w:szCs w:val="24"/>
          <w:lang w:eastAsia="en-GB"/>
        </w:rPr>
        <w:t>T</w:t>
      </w:r>
      <w:r w:rsidR="005749F9" w:rsidRPr="00A55743">
        <w:rPr>
          <w:rFonts w:ascii="Arial" w:eastAsia="Times New Roman" w:hAnsi="Arial" w:cs="Arial"/>
          <w:color w:val="000000"/>
          <w:sz w:val="24"/>
          <w:szCs w:val="24"/>
          <w:lang w:eastAsia="en-GB"/>
        </w:rPr>
        <w:t>he current reconsideration of the proposed legislation presents an opportun</w:t>
      </w:r>
      <w:r w:rsidR="005749F9">
        <w:rPr>
          <w:rFonts w:ascii="Arial" w:eastAsia="Times New Roman" w:hAnsi="Arial" w:cs="Arial"/>
          <w:color w:val="000000"/>
          <w:sz w:val="24"/>
          <w:szCs w:val="24"/>
          <w:lang w:eastAsia="en-GB"/>
        </w:rPr>
        <w:t xml:space="preserve">ity for the </w:t>
      </w:r>
      <w:r w:rsidR="00107ADD">
        <w:rPr>
          <w:rFonts w:ascii="Arial" w:eastAsia="Times New Roman" w:hAnsi="Arial" w:cs="Arial"/>
          <w:color w:val="000000"/>
          <w:sz w:val="24"/>
          <w:szCs w:val="24"/>
          <w:lang w:eastAsia="en-GB"/>
        </w:rPr>
        <w:t>G</w:t>
      </w:r>
      <w:r w:rsidR="005749F9">
        <w:rPr>
          <w:rFonts w:ascii="Arial" w:eastAsia="Times New Roman" w:hAnsi="Arial" w:cs="Arial"/>
          <w:color w:val="000000"/>
          <w:sz w:val="24"/>
          <w:szCs w:val="24"/>
          <w:lang w:eastAsia="en-GB"/>
        </w:rPr>
        <w:t xml:space="preserve">overnment to examine </w:t>
      </w:r>
      <w:r w:rsidR="00301C86">
        <w:rPr>
          <w:rFonts w:ascii="Arial" w:eastAsia="Times New Roman" w:hAnsi="Arial" w:cs="Arial"/>
          <w:color w:val="000000"/>
          <w:sz w:val="24"/>
          <w:szCs w:val="24"/>
          <w:lang w:eastAsia="en-GB"/>
        </w:rPr>
        <w:t xml:space="preserve">the validity of </w:t>
      </w:r>
      <w:r w:rsidR="005749F9">
        <w:rPr>
          <w:rFonts w:ascii="Arial" w:eastAsia="Times New Roman" w:hAnsi="Arial" w:cs="Arial"/>
          <w:color w:val="000000"/>
          <w:sz w:val="24"/>
          <w:szCs w:val="24"/>
          <w:lang w:eastAsia="en-GB"/>
        </w:rPr>
        <w:t>some of the received mantras</w:t>
      </w:r>
      <w:r w:rsidR="00A25E1B">
        <w:rPr>
          <w:rFonts w:ascii="Arial" w:eastAsia="Times New Roman" w:hAnsi="Arial" w:cs="Arial"/>
          <w:color w:val="000000"/>
          <w:sz w:val="24"/>
          <w:szCs w:val="24"/>
          <w:lang w:eastAsia="en-GB"/>
        </w:rPr>
        <w:t xml:space="preserve"> concerning what victims, survivors and their families ‘need’ or indeed actually want; and whether previous efforts in this field have been relevant or helpful. Why should it be assumed, for example, that </w:t>
      </w:r>
      <w:r w:rsidRPr="00A55743">
        <w:rPr>
          <w:rFonts w:ascii="Arial" w:eastAsia="Times New Roman" w:hAnsi="Arial" w:cs="Arial"/>
          <w:color w:val="000000"/>
          <w:sz w:val="24"/>
          <w:szCs w:val="24"/>
          <w:lang w:eastAsia="en-GB"/>
        </w:rPr>
        <w:t>processes which require the</w:t>
      </w:r>
      <w:r>
        <w:rPr>
          <w:rFonts w:ascii="Arial" w:eastAsia="Times New Roman" w:hAnsi="Arial" w:cs="Arial"/>
          <w:color w:val="000000"/>
          <w:sz w:val="24"/>
          <w:szCs w:val="24"/>
          <w:lang w:eastAsia="en-GB"/>
        </w:rPr>
        <w:t xml:space="preserve"> </w:t>
      </w:r>
      <w:r w:rsidR="00A25E1B">
        <w:rPr>
          <w:rFonts w:ascii="Arial" w:eastAsia="Times New Roman" w:hAnsi="Arial" w:cs="Arial"/>
          <w:color w:val="000000"/>
          <w:sz w:val="24"/>
          <w:szCs w:val="24"/>
          <w:lang w:eastAsia="en-GB"/>
        </w:rPr>
        <w:t xml:space="preserve">continual re-examination of matters which have been raked over in minute detail on numerous previous occasions will meet </w:t>
      </w:r>
      <w:r w:rsidR="00A25E1B">
        <w:rPr>
          <w:rFonts w:ascii="Arial" w:eastAsia="Times New Roman" w:hAnsi="Arial" w:cs="Arial"/>
          <w:color w:val="000000"/>
          <w:sz w:val="24"/>
          <w:szCs w:val="24"/>
          <w:lang w:eastAsia="en-GB"/>
        </w:rPr>
        <w:lastRenderedPageBreak/>
        <w:t xml:space="preserve">the needs of victims? If there is genuine new evidence and some prospect that this may lead to the identification and even conceivably the prosecution of offenders </w:t>
      </w:r>
      <w:r w:rsidR="00E070F9">
        <w:rPr>
          <w:rFonts w:ascii="Arial" w:eastAsia="Times New Roman" w:hAnsi="Arial" w:cs="Arial"/>
          <w:color w:val="000000"/>
          <w:sz w:val="24"/>
          <w:szCs w:val="24"/>
          <w:lang w:eastAsia="en-GB"/>
        </w:rPr>
        <w:t xml:space="preserve">then all </w:t>
      </w:r>
      <w:r w:rsidR="00A25E1B">
        <w:rPr>
          <w:rFonts w:ascii="Arial" w:eastAsia="Times New Roman" w:hAnsi="Arial" w:cs="Arial"/>
          <w:color w:val="000000"/>
          <w:sz w:val="24"/>
          <w:szCs w:val="24"/>
          <w:lang w:eastAsia="en-GB"/>
        </w:rPr>
        <w:t xml:space="preserve">well and good; but all too often such renewed investigations have been instigated by sectional interests rather than genuine victims </w:t>
      </w:r>
      <w:r w:rsidRPr="00A55743">
        <w:rPr>
          <w:rFonts w:ascii="Arial" w:eastAsia="Times New Roman" w:hAnsi="Arial" w:cs="Arial"/>
          <w:color w:val="000000"/>
          <w:sz w:val="24"/>
          <w:szCs w:val="24"/>
          <w:lang w:eastAsia="en-GB"/>
        </w:rPr>
        <w:t xml:space="preserve">and </w:t>
      </w:r>
      <w:r w:rsidR="00A25E1B" w:rsidRPr="00A55743">
        <w:rPr>
          <w:rFonts w:ascii="Arial" w:eastAsia="Times New Roman" w:hAnsi="Arial" w:cs="Arial"/>
          <w:color w:val="000000"/>
          <w:sz w:val="24"/>
          <w:szCs w:val="24"/>
          <w:lang w:eastAsia="en-GB"/>
        </w:rPr>
        <w:t>using spurious reasons</w:t>
      </w:r>
      <w:r w:rsidR="008E6885" w:rsidRPr="00A55743">
        <w:rPr>
          <w:rFonts w:ascii="Arial" w:eastAsia="Times New Roman" w:hAnsi="Arial" w:cs="Arial"/>
          <w:color w:val="000000"/>
          <w:sz w:val="24"/>
          <w:szCs w:val="24"/>
          <w:lang w:eastAsia="en-GB"/>
        </w:rPr>
        <w:t>. F</w:t>
      </w:r>
      <w:r w:rsidR="00A25E1B" w:rsidRPr="00A55743">
        <w:rPr>
          <w:rFonts w:ascii="Arial" w:eastAsia="Times New Roman" w:hAnsi="Arial" w:cs="Arial"/>
          <w:color w:val="000000"/>
          <w:sz w:val="24"/>
          <w:szCs w:val="24"/>
          <w:lang w:eastAsia="en-GB"/>
        </w:rPr>
        <w:t>requently</w:t>
      </w:r>
      <w:r w:rsidRPr="00A55743">
        <w:rPr>
          <w:rFonts w:ascii="Arial" w:eastAsia="Times New Roman" w:hAnsi="Arial" w:cs="Arial"/>
          <w:color w:val="000000"/>
          <w:sz w:val="24"/>
          <w:szCs w:val="24"/>
          <w:lang w:eastAsia="en-GB"/>
        </w:rPr>
        <w:t xml:space="preserve"> there is a notable absence of </w:t>
      </w:r>
      <w:r w:rsidR="008E6885" w:rsidRPr="00A55743">
        <w:rPr>
          <w:rFonts w:ascii="Arial" w:eastAsia="Times New Roman" w:hAnsi="Arial" w:cs="Arial"/>
          <w:color w:val="000000"/>
          <w:sz w:val="24"/>
          <w:szCs w:val="24"/>
          <w:lang w:eastAsia="en-GB"/>
        </w:rPr>
        <w:t xml:space="preserve">any </w:t>
      </w:r>
      <w:r w:rsidRPr="00A55743">
        <w:rPr>
          <w:rFonts w:ascii="Arial" w:eastAsia="Times New Roman" w:hAnsi="Arial" w:cs="Arial"/>
          <w:color w:val="000000"/>
          <w:sz w:val="24"/>
          <w:szCs w:val="24"/>
          <w:lang w:eastAsia="en-GB"/>
        </w:rPr>
        <w:t>credible evidence</w:t>
      </w:r>
      <w:r w:rsidR="008E6885" w:rsidRPr="00A55743">
        <w:rPr>
          <w:rFonts w:ascii="Arial" w:eastAsia="Times New Roman" w:hAnsi="Arial" w:cs="Arial"/>
          <w:color w:val="000000"/>
          <w:sz w:val="24"/>
          <w:szCs w:val="24"/>
          <w:lang w:eastAsia="en-GB"/>
        </w:rPr>
        <w:t xml:space="preserve"> or even reasonable suspicion</w:t>
      </w:r>
      <w:r w:rsidRPr="00A55743">
        <w:rPr>
          <w:rFonts w:ascii="Arial" w:eastAsia="Times New Roman" w:hAnsi="Arial" w:cs="Arial"/>
          <w:color w:val="000000"/>
          <w:sz w:val="24"/>
          <w:szCs w:val="24"/>
          <w:lang w:eastAsia="en-GB"/>
        </w:rPr>
        <w:t xml:space="preserve"> of any criminal offence</w:t>
      </w:r>
      <w:r w:rsidR="00A25E1B" w:rsidRPr="00A55743">
        <w:rPr>
          <w:rFonts w:ascii="Arial" w:eastAsia="Times New Roman" w:hAnsi="Arial" w:cs="Arial"/>
          <w:color w:val="000000"/>
          <w:sz w:val="24"/>
          <w:szCs w:val="24"/>
          <w:lang w:eastAsia="en-GB"/>
        </w:rPr>
        <w:t xml:space="preserve">. </w:t>
      </w:r>
      <w:r w:rsidR="00301C86" w:rsidRPr="00A55743">
        <w:rPr>
          <w:rFonts w:ascii="Arial" w:eastAsia="Times New Roman" w:hAnsi="Arial" w:cs="Arial"/>
          <w:color w:val="000000"/>
          <w:sz w:val="24"/>
          <w:szCs w:val="24"/>
          <w:lang w:eastAsia="en-GB"/>
        </w:rPr>
        <w:t xml:space="preserve">The purpose of such new investigations is </w:t>
      </w:r>
      <w:r w:rsidRPr="00A55743">
        <w:rPr>
          <w:rFonts w:ascii="Arial" w:eastAsia="Times New Roman" w:hAnsi="Arial" w:cs="Arial"/>
          <w:color w:val="000000"/>
          <w:sz w:val="24"/>
          <w:szCs w:val="24"/>
          <w:lang w:eastAsia="en-GB"/>
        </w:rPr>
        <w:t xml:space="preserve">not </w:t>
      </w:r>
      <w:r w:rsidR="00301C86" w:rsidRPr="00A55743">
        <w:rPr>
          <w:rFonts w:ascii="Arial" w:eastAsia="Times New Roman" w:hAnsi="Arial" w:cs="Arial"/>
          <w:color w:val="000000"/>
          <w:sz w:val="24"/>
          <w:szCs w:val="24"/>
          <w:lang w:eastAsia="en-GB"/>
        </w:rPr>
        <w:t xml:space="preserve">to </w:t>
      </w:r>
      <w:r w:rsidR="005F4247" w:rsidRPr="00A55743">
        <w:rPr>
          <w:rFonts w:ascii="Arial" w:eastAsia="Times New Roman" w:hAnsi="Arial" w:cs="Arial"/>
          <w:color w:val="000000"/>
          <w:sz w:val="24"/>
          <w:szCs w:val="24"/>
          <w:lang w:eastAsia="en-GB"/>
        </w:rPr>
        <w:t xml:space="preserve">bring criminals to justice but </w:t>
      </w:r>
      <w:r w:rsidRPr="00A55743">
        <w:rPr>
          <w:rFonts w:ascii="Arial" w:eastAsia="Times New Roman" w:hAnsi="Arial" w:cs="Arial"/>
          <w:color w:val="000000"/>
          <w:sz w:val="24"/>
          <w:szCs w:val="24"/>
          <w:lang w:eastAsia="en-GB"/>
        </w:rPr>
        <w:t xml:space="preserve">rather </w:t>
      </w:r>
      <w:r w:rsidR="005F4247" w:rsidRPr="00A55743">
        <w:rPr>
          <w:rFonts w:ascii="Arial" w:eastAsia="Times New Roman" w:hAnsi="Arial" w:cs="Arial"/>
          <w:color w:val="000000"/>
          <w:sz w:val="24"/>
          <w:szCs w:val="24"/>
          <w:lang w:eastAsia="en-GB"/>
        </w:rPr>
        <w:t xml:space="preserve">to seek to cast doubt on the integrity or the efficiency of the security forces. </w:t>
      </w:r>
      <w:r w:rsidR="00A25E1B" w:rsidRPr="00A55743">
        <w:rPr>
          <w:rFonts w:ascii="Arial" w:eastAsia="Times New Roman" w:hAnsi="Arial" w:cs="Arial"/>
          <w:color w:val="000000"/>
          <w:sz w:val="24"/>
          <w:szCs w:val="24"/>
          <w:lang w:eastAsia="en-GB"/>
        </w:rPr>
        <w:t>We will consider a better approach</w:t>
      </w:r>
      <w:r w:rsidR="00A25E1B">
        <w:rPr>
          <w:rFonts w:ascii="Arial" w:eastAsia="Times New Roman" w:hAnsi="Arial" w:cs="Arial"/>
          <w:color w:val="000000"/>
          <w:sz w:val="24"/>
          <w:szCs w:val="24"/>
          <w:lang w:eastAsia="en-GB"/>
        </w:rPr>
        <w:t xml:space="preserve"> to the legitimacy of</w:t>
      </w:r>
      <w:r w:rsidR="0083644A">
        <w:rPr>
          <w:rFonts w:ascii="Arial" w:eastAsia="Times New Roman" w:hAnsi="Arial" w:cs="Arial"/>
          <w:color w:val="000000"/>
          <w:sz w:val="24"/>
          <w:szCs w:val="24"/>
          <w:lang w:eastAsia="en-GB"/>
        </w:rPr>
        <w:t xml:space="preserve"> reopening</w:t>
      </w:r>
      <w:r w:rsidR="00A25E1B">
        <w:rPr>
          <w:rFonts w:ascii="Arial" w:eastAsia="Times New Roman" w:hAnsi="Arial" w:cs="Arial"/>
          <w:color w:val="000000"/>
          <w:sz w:val="24"/>
          <w:szCs w:val="24"/>
          <w:lang w:eastAsia="en-GB"/>
        </w:rPr>
        <w:t xml:space="preserve"> investigations in the relevant section below</w:t>
      </w:r>
      <w:r w:rsidR="0083644A">
        <w:rPr>
          <w:rFonts w:ascii="Arial" w:eastAsia="Times New Roman" w:hAnsi="Arial" w:cs="Arial"/>
          <w:color w:val="000000"/>
          <w:sz w:val="24"/>
          <w:szCs w:val="24"/>
          <w:lang w:eastAsia="en-GB"/>
        </w:rPr>
        <w:t>.</w:t>
      </w:r>
    </w:p>
    <w:p w14:paraId="689C42DC" w14:textId="4DBDD760" w:rsidR="0083644A" w:rsidRDefault="0083644A" w:rsidP="00166515">
      <w:pPr>
        <w:widowControl/>
        <w:spacing w:after="120"/>
        <w:ind w:left="-340" w:right="680"/>
        <w:contextualSpacing/>
        <w:jc w:val="both"/>
        <w:rPr>
          <w:rFonts w:ascii="Arial" w:eastAsia="Times New Roman" w:hAnsi="Arial" w:cs="Arial"/>
          <w:color w:val="000000"/>
          <w:sz w:val="24"/>
          <w:szCs w:val="24"/>
          <w:lang w:eastAsia="en-GB"/>
        </w:rPr>
      </w:pPr>
    </w:p>
    <w:p w14:paraId="06FC5578" w14:textId="627F7C97" w:rsidR="0083644A" w:rsidRDefault="0083644A"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terms of producing information for families or for public consumption our views on the difficulties of HET and the fiascos of PONI have been expressed elsewhere. Now may be the time to produce a system which is consistent </w:t>
      </w:r>
      <w:r w:rsidR="005F4247">
        <w:rPr>
          <w:rFonts w:ascii="Arial" w:eastAsia="Times New Roman" w:hAnsi="Arial" w:cs="Arial"/>
          <w:color w:val="000000"/>
          <w:sz w:val="24"/>
          <w:szCs w:val="24"/>
          <w:lang w:eastAsia="en-GB"/>
        </w:rPr>
        <w:t xml:space="preserve">both </w:t>
      </w:r>
      <w:r>
        <w:rPr>
          <w:rFonts w:ascii="Arial" w:eastAsia="Times New Roman" w:hAnsi="Arial" w:cs="Arial"/>
          <w:color w:val="000000"/>
          <w:sz w:val="24"/>
          <w:szCs w:val="24"/>
          <w:lang w:eastAsia="en-GB"/>
        </w:rPr>
        <w:t xml:space="preserve">with the provisions of the European Convention on Human Rights and with </w:t>
      </w:r>
      <w:r w:rsidR="007C0B1C" w:rsidRPr="00A55743">
        <w:rPr>
          <w:rFonts w:ascii="Arial" w:eastAsia="Times New Roman" w:hAnsi="Arial" w:cs="Arial"/>
          <w:color w:val="000000"/>
          <w:sz w:val="24"/>
          <w:szCs w:val="24"/>
          <w:lang w:eastAsia="en-GB"/>
        </w:rPr>
        <w:t>United Kingdom (</w:t>
      </w:r>
      <w:r w:rsidR="00603717" w:rsidRPr="00A55743">
        <w:rPr>
          <w:rFonts w:ascii="Arial" w:eastAsia="Times New Roman" w:hAnsi="Arial" w:cs="Arial"/>
          <w:color w:val="000000"/>
          <w:sz w:val="24"/>
          <w:szCs w:val="24"/>
          <w:lang w:eastAsia="en-GB"/>
        </w:rPr>
        <w:t>UK</w:t>
      </w:r>
      <w:r w:rsidR="007C0B1C" w:rsidRPr="00A55743">
        <w:rPr>
          <w:rFonts w:ascii="Arial" w:eastAsia="Times New Roman" w:hAnsi="Arial" w:cs="Arial"/>
          <w:color w:val="000000"/>
          <w:sz w:val="24"/>
          <w:szCs w:val="24"/>
          <w:lang w:eastAsia="en-GB"/>
        </w:rPr>
        <w:t>)</w:t>
      </w:r>
      <w:r w:rsidR="00603717" w:rsidRPr="00A55743">
        <w:rPr>
          <w:rFonts w:ascii="Arial" w:eastAsia="Times New Roman" w:hAnsi="Arial" w:cs="Arial"/>
          <w:color w:val="000000"/>
          <w:sz w:val="24"/>
          <w:szCs w:val="24"/>
          <w:lang w:eastAsia="en-GB"/>
        </w:rPr>
        <w:t xml:space="preserve"> </w:t>
      </w:r>
      <w:r w:rsidRPr="00A55743">
        <w:rPr>
          <w:rFonts w:ascii="Arial" w:eastAsia="Times New Roman" w:hAnsi="Arial" w:cs="Arial"/>
          <w:color w:val="000000"/>
          <w:sz w:val="24"/>
          <w:szCs w:val="24"/>
          <w:lang w:eastAsia="en-GB"/>
        </w:rPr>
        <w:t>case law.</w:t>
      </w:r>
      <w:r>
        <w:rPr>
          <w:rFonts w:ascii="Arial" w:eastAsia="Times New Roman" w:hAnsi="Arial" w:cs="Arial"/>
          <w:color w:val="000000"/>
          <w:sz w:val="24"/>
          <w:szCs w:val="24"/>
          <w:lang w:eastAsia="en-GB"/>
        </w:rPr>
        <w:t xml:space="preserve"> That would mean, </w:t>
      </w:r>
      <w:r w:rsidRPr="005F4247">
        <w:rPr>
          <w:rFonts w:ascii="Arial" w:eastAsia="Times New Roman" w:hAnsi="Arial" w:cs="Arial"/>
          <w:i/>
          <w:iCs/>
          <w:color w:val="000000"/>
          <w:sz w:val="24"/>
          <w:szCs w:val="24"/>
          <w:lang w:eastAsia="en-GB"/>
        </w:rPr>
        <w:t>inter alia</w:t>
      </w:r>
      <w:r>
        <w:rPr>
          <w:rFonts w:ascii="Arial" w:eastAsia="Times New Roman" w:hAnsi="Arial" w:cs="Arial"/>
          <w:color w:val="000000"/>
          <w:sz w:val="24"/>
          <w:szCs w:val="24"/>
          <w:lang w:eastAsia="en-GB"/>
        </w:rPr>
        <w:t>, that family reports would relate to the outcomes and not the methodology of earlier police investigations</w:t>
      </w:r>
      <w:r w:rsidR="005F424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that the confidentiality of criminal investigations would continue to be respected and not abandoned on the grounds of temporal </w:t>
      </w:r>
      <w:r w:rsidR="00A14180">
        <w:rPr>
          <w:rFonts w:ascii="Arial" w:eastAsia="Times New Roman" w:hAnsi="Arial" w:cs="Arial"/>
          <w:color w:val="000000"/>
          <w:sz w:val="24"/>
          <w:szCs w:val="24"/>
          <w:lang w:eastAsia="en-GB"/>
        </w:rPr>
        <w:t>remoteness</w:t>
      </w:r>
      <w:r w:rsidR="005F424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that </w:t>
      </w:r>
      <w:proofErr w:type="spellStart"/>
      <w:r>
        <w:rPr>
          <w:rFonts w:ascii="Arial" w:eastAsia="Times New Roman" w:hAnsi="Arial" w:cs="Arial"/>
          <w:color w:val="000000"/>
          <w:sz w:val="24"/>
          <w:szCs w:val="24"/>
          <w:lang w:eastAsia="en-GB"/>
        </w:rPr>
        <w:t>unconvicted</w:t>
      </w:r>
      <w:proofErr w:type="spellEnd"/>
      <w:r>
        <w:rPr>
          <w:rFonts w:ascii="Arial" w:eastAsia="Times New Roman" w:hAnsi="Arial" w:cs="Arial"/>
          <w:color w:val="000000"/>
          <w:sz w:val="24"/>
          <w:szCs w:val="24"/>
          <w:lang w:eastAsia="en-GB"/>
        </w:rPr>
        <w:t xml:space="preserve"> individuals would not be named or otherwise identified</w:t>
      </w:r>
      <w:r w:rsidR="005F424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A14180">
        <w:rPr>
          <w:rFonts w:ascii="Arial" w:eastAsia="Times New Roman" w:hAnsi="Arial" w:cs="Arial"/>
          <w:color w:val="000000"/>
          <w:sz w:val="24"/>
          <w:szCs w:val="24"/>
          <w:lang w:eastAsia="en-GB"/>
        </w:rPr>
        <w:t xml:space="preserve">that secret intelligence would not be disclosed; </w:t>
      </w:r>
      <w:r>
        <w:rPr>
          <w:rFonts w:ascii="Arial" w:eastAsia="Times New Roman" w:hAnsi="Arial" w:cs="Arial"/>
          <w:color w:val="000000"/>
          <w:sz w:val="24"/>
          <w:szCs w:val="24"/>
          <w:lang w:eastAsia="en-GB"/>
        </w:rPr>
        <w:t xml:space="preserve">and that vague theories or </w:t>
      </w:r>
      <w:r w:rsidR="005F4247">
        <w:rPr>
          <w:rFonts w:ascii="Arial" w:eastAsia="Times New Roman" w:hAnsi="Arial" w:cs="Arial"/>
          <w:color w:val="000000"/>
          <w:sz w:val="24"/>
          <w:szCs w:val="24"/>
          <w:lang w:eastAsia="en-GB"/>
        </w:rPr>
        <w:t xml:space="preserve">imaginative </w:t>
      </w:r>
      <w:r>
        <w:rPr>
          <w:rFonts w:ascii="Arial" w:eastAsia="Times New Roman" w:hAnsi="Arial" w:cs="Arial"/>
          <w:color w:val="000000"/>
          <w:sz w:val="24"/>
          <w:szCs w:val="24"/>
          <w:lang w:eastAsia="en-GB"/>
        </w:rPr>
        <w:t>hypotheses would not be reported as if they were facts.</w:t>
      </w:r>
    </w:p>
    <w:p w14:paraId="7BB1339C" w14:textId="5815E94C" w:rsidR="00A14180" w:rsidRDefault="00A14180" w:rsidP="00166515">
      <w:pPr>
        <w:widowControl/>
        <w:spacing w:after="120"/>
        <w:ind w:left="-340" w:right="680"/>
        <w:contextualSpacing/>
        <w:jc w:val="both"/>
        <w:rPr>
          <w:rFonts w:ascii="Arial" w:eastAsia="Times New Roman" w:hAnsi="Arial" w:cs="Arial"/>
          <w:color w:val="000000"/>
          <w:sz w:val="24"/>
          <w:szCs w:val="24"/>
          <w:lang w:eastAsia="en-GB"/>
        </w:rPr>
      </w:pPr>
    </w:p>
    <w:p w14:paraId="77E34463" w14:textId="313B4994" w:rsidR="0006291A" w:rsidRDefault="00DD66BC" w:rsidP="0006291A">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broader terms the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 xml:space="preserve">overnment will also need to consider how to balance the needs of victims against the interests of </w:t>
      </w:r>
      <w:r w:rsidR="0057569A">
        <w:rPr>
          <w:rFonts w:ascii="Arial" w:eastAsia="Times New Roman" w:hAnsi="Arial" w:cs="Arial"/>
          <w:color w:val="000000"/>
          <w:sz w:val="24"/>
          <w:szCs w:val="24"/>
          <w:lang w:eastAsia="en-GB"/>
        </w:rPr>
        <w:t xml:space="preserve">our </w:t>
      </w:r>
      <w:r>
        <w:rPr>
          <w:rFonts w:ascii="Arial" w:eastAsia="Times New Roman" w:hAnsi="Arial" w:cs="Arial"/>
          <w:color w:val="000000"/>
          <w:sz w:val="24"/>
          <w:szCs w:val="24"/>
          <w:lang w:eastAsia="en-GB"/>
        </w:rPr>
        <w:t xml:space="preserve">society as a whole and the needs of future generations. </w:t>
      </w:r>
      <w:r w:rsidRPr="00A55743">
        <w:rPr>
          <w:rFonts w:ascii="Arial" w:eastAsia="Times New Roman" w:hAnsi="Arial" w:cs="Arial"/>
          <w:color w:val="000000"/>
          <w:sz w:val="24"/>
          <w:szCs w:val="24"/>
          <w:lang w:eastAsia="en-GB"/>
        </w:rPr>
        <w:t>The idea</w:t>
      </w:r>
      <w:r w:rsidR="00603717" w:rsidRPr="00A55743">
        <w:rPr>
          <w:rFonts w:ascii="Arial" w:eastAsia="Times New Roman" w:hAnsi="Arial" w:cs="Arial"/>
          <w:color w:val="000000"/>
          <w:sz w:val="24"/>
          <w:szCs w:val="24"/>
          <w:lang w:eastAsia="en-GB"/>
        </w:rPr>
        <w:t xml:space="preserve"> of total transparency</w:t>
      </w:r>
      <w:r w:rsidR="00235E0E" w:rsidRPr="00A55743">
        <w:rPr>
          <w:rFonts w:ascii="Arial" w:eastAsia="Times New Roman" w:hAnsi="Arial" w:cs="Arial"/>
          <w:color w:val="000000"/>
          <w:sz w:val="24"/>
          <w:szCs w:val="24"/>
          <w:lang w:eastAsia="en-GB"/>
        </w:rPr>
        <w:t xml:space="preserve"> -</w:t>
      </w:r>
      <w:r w:rsidRPr="00A55743">
        <w:rPr>
          <w:rFonts w:ascii="Arial" w:eastAsia="Times New Roman" w:hAnsi="Arial" w:cs="Arial"/>
          <w:color w:val="000000"/>
          <w:sz w:val="24"/>
          <w:szCs w:val="24"/>
          <w:lang w:eastAsia="en-GB"/>
        </w:rPr>
        <w:t xml:space="preserve"> that the more we all know about the past the better </w:t>
      </w:r>
      <w:r w:rsidR="00235E0E" w:rsidRPr="00A55743">
        <w:rPr>
          <w:rFonts w:ascii="Arial" w:eastAsia="Times New Roman" w:hAnsi="Arial" w:cs="Arial"/>
          <w:color w:val="000000"/>
          <w:sz w:val="24"/>
          <w:szCs w:val="24"/>
          <w:lang w:eastAsia="en-GB"/>
        </w:rPr>
        <w:t xml:space="preserve">- </w:t>
      </w:r>
      <w:r w:rsidRPr="00A55743">
        <w:rPr>
          <w:rFonts w:ascii="Arial" w:eastAsia="Times New Roman" w:hAnsi="Arial" w:cs="Arial"/>
          <w:color w:val="000000"/>
          <w:sz w:val="24"/>
          <w:szCs w:val="24"/>
          <w:lang w:eastAsia="en-GB"/>
        </w:rPr>
        <w:t>and the</w:t>
      </w:r>
      <w:r>
        <w:rPr>
          <w:rFonts w:ascii="Arial" w:eastAsia="Times New Roman" w:hAnsi="Arial" w:cs="Arial"/>
          <w:color w:val="000000"/>
          <w:sz w:val="24"/>
          <w:szCs w:val="24"/>
          <w:lang w:eastAsia="en-GB"/>
        </w:rPr>
        <w:t xml:space="preserve"> frequent coupling of the words ‘truth’ and ‘reconciliation’</w:t>
      </w:r>
      <w:r w:rsidR="003B2C28">
        <w:rPr>
          <w:rFonts w:ascii="Arial" w:eastAsia="Times New Roman" w:hAnsi="Arial" w:cs="Arial"/>
          <w:color w:val="000000"/>
          <w:sz w:val="24"/>
          <w:szCs w:val="24"/>
          <w:lang w:eastAsia="en-GB"/>
        </w:rPr>
        <w:t xml:space="preserve"> as if the one leads to the other may be popular concepts in some quarters but they are by no means unchallengeable. Indeed it could be argued that, whilst fact is generally more helpful than rumour in promoting community reconciliation, in our particular circumstances and with our history this is not a given. Quite apart from the fact that different groups appear to have a different view of our history it is also possible that some revelations about our recent history</w:t>
      </w:r>
      <w:r w:rsidR="0077161B">
        <w:rPr>
          <w:rFonts w:ascii="Arial" w:eastAsia="Times New Roman" w:hAnsi="Arial" w:cs="Arial"/>
          <w:color w:val="000000"/>
          <w:sz w:val="24"/>
          <w:szCs w:val="24"/>
          <w:lang w:eastAsia="en-GB"/>
        </w:rPr>
        <w:t xml:space="preserve"> </w:t>
      </w:r>
      <w:r w:rsidR="0077161B" w:rsidRPr="00A55743">
        <w:rPr>
          <w:rFonts w:ascii="Arial" w:eastAsia="Times New Roman" w:hAnsi="Arial" w:cs="Arial"/>
          <w:color w:val="000000"/>
          <w:sz w:val="24"/>
          <w:szCs w:val="24"/>
          <w:lang w:eastAsia="en-GB"/>
        </w:rPr>
        <w:t>and the individual tragedies which occurred</w:t>
      </w:r>
      <w:r w:rsidR="003B2C28">
        <w:rPr>
          <w:rFonts w:ascii="Arial" w:eastAsia="Times New Roman" w:hAnsi="Arial" w:cs="Arial"/>
          <w:color w:val="000000"/>
          <w:sz w:val="24"/>
          <w:szCs w:val="24"/>
          <w:lang w:eastAsia="en-GB"/>
        </w:rPr>
        <w:t xml:space="preserve"> could have disruptive rather than healing effects even within, let alone between, our various communities and factions.</w:t>
      </w:r>
      <w:r w:rsidR="0057569A">
        <w:rPr>
          <w:rFonts w:ascii="Arial" w:eastAsia="Times New Roman" w:hAnsi="Arial" w:cs="Arial"/>
          <w:color w:val="000000"/>
          <w:sz w:val="24"/>
          <w:szCs w:val="24"/>
          <w:lang w:eastAsia="en-GB"/>
        </w:rPr>
        <w:t xml:space="preserve"> The </w:t>
      </w:r>
      <w:r w:rsidR="00107ADD">
        <w:rPr>
          <w:rFonts w:ascii="Arial" w:eastAsia="Times New Roman" w:hAnsi="Arial" w:cs="Arial"/>
          <w:color w:val="000000"/>
          <w:sz w:val="24"/>
          <w:szCs w:val="24"/>
          <w:lang w:eastAsia="en-GB"/>
        </w:rPr>
        <w:t>G</w:t>
      </w:r>
      <w:r w:rsidR="0057569A">
        <w:rPr>
          <w:rFonts w:ascii="Arial" w:eastAsia="Times New Roman" w:hAnsi="Arial" w:cs="Arial"/>
          <w:color w:val="000000"/>
          <w:sz w:val="24"/>
          <w:szCs w:val="24"/>
          <w:lang w:eastAsia="en-GB"/>
        </w:rPr>
        <w:t xml:space="preserve">overnment </w:t>
      </w:r>
      <w:r w:rsidR="00616905">
        <w:rPr>
          <w:rFonts w:ascii="Arial" w:eastAsia="Times New Roman" w:hAnsi="Arial" w:cs="Arial"/>
          <w:color w:val="000000"/>
          <w:sz w:val="24"/>
          <w:szCs w:val="24"/>
          <w:lang w:eastAsia="en-GB"/>
        </w:rPr>
        <w:t>will also be aware that there are factions present and active here for whom reconciliation is not actually</w:t>
      </w:r>
      <w:r w:rsidR="002079D6">
        <w:rPr>
          <w:rFonts w:ascii="Arial" w:eastAsia="Times New Roman" w:hAnsi="Arial" w:cs="Arial"/>
          <w:color w:val="000000"/>
          <w:sz w:val="24"/>
          <w:szCs w:val="24"/>
          <w:lang w:eastAsia="en-GB"/>
        </w:rPr>
        <w:t xml:space="preserve"> considered to be</w:t>
      </w:r>
      <w:r w:rsidR="00616905">
        <w:rPr>
          <w:rFonts w:ascii="Arial" w:eastAsia="Times New Roman" w:hAnsi="Arial" w:cs="Arial"/>
          <w:color w:val="000000"/>
          <w:sz w:val="24"/>
          <w:szCs w:val="24"/>
          <w:lang w:eastAsia="en-GB"/>
        </w:rPr>
        <w:t xml:space="preserve"> a desirable goal.</w:t>
      </w:r>
    </w:p>
    <w:p w14:paraId="3CA9A498"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7971D18B"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48765095" w14:textId="531C22D9" w:rsidR="00166515" w:rsidRPr="0006291A" w:rsidRDefault="00744176" w:rsidP="0006291A">
      <w:pPr>
        <w:widowControl/>
        <w:spacing w:after="120"/>
        <w:ind w:left="-340" w:right="680"/>
        <w:contextualSpacing/>
        <w:jc w:val="both"/>
        <w:rPr>
          <w:rFonts w:ascii="Arial" w:eastAsia="Times New Roman" w:hAnsi="Arial" w:cs="Arial"/>
          <w:color w:val="000000"/>
          <w:sz w:val="24"/>
          <w:szCs w:val="24"/>
          <w:lang w:eastAsia="en-GB"/>
        </w:rPr>
      </w:pPr>
      <w:r w:rsidRPr="0006291A">
        <w:rPr>
          <w:rFonts w:ascii="Arial" w:eastAsia="Times New Roman" w:hAnsi="Arial" w:cs="Arial"/>
          <w:i/>
          <w:iCs/>
          <w:sz w:val="24"/>
          <w:szCs w:val="24"/>
          <w:u w:val="single"/>
          <w:lang w:eastAsia="en-GB"/>
        </w:rPr>
        <w:t>What steps the Government can take to ensure that the proposed new legacy body is independent, balanced and open, and complies with the Belfast/Good Friday Agreement and ECHR commitments;</w:t>
      </w:r>
    </w:p>
    <w:p w14:paraId="5E79EABD" w14:textId="217BAECB" w:rsidR="00166515" w:rsidRPr="00020925" w:rsidRDefault="00166515" w:rsidP="00166515">
      <w:pPr>
        <w:widowControl/>
        <w:spacing w:after="120"/>
        <w:ind w:left="-340" w:right="680"/>
        <w:contextualSpacing/>
        <w:jc w:val="both"/>
        <w:rPr>
          <w:rFonts w:ascii="Arial" w:eastAsia="Times New Roman" w:hAnsi="Arial" w:cs="Arial"/>
          <w:sz w:val="24"/>
          <w:szCs w:val="24"/>
          <w:lang w:eastAsia="en-GB"/>
        </w:rPr>
      </w:pPr>
    </w:p>
    <w:p w14:paraId="4C8B72A6" w14:textId="596A0543" w:rsidR="008B7AE0" w:rsidRDefault="00490D20"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Whilst there has certainly been concern about the adequacy and effectiveness of the current institutions and our attempts as a society to address legacy issues through our current processes, it is incumbent on</w:t>
      </w:r>
      <w:r w:rsidR="00107ADD">
        <w:rPr>
          <w:rFonts w:ascii="Arial" w:eastAsia="Times New Roman" w:hAnsi="Arial" w:cs="Arial"/>
          <w:color w:val="000000"/>
          <w:sz w:val="24"/>
          <w:szCs w:val="24"/>
          <w:lang w:eastAsia="en-GB"/>
        </w:rPr>
        <w:t xml:space="preserve"> the</w:t>
      </w:r>
      <w:r>
        <w:rPr>
          <w:rFonts w:ascii="Arial" w:eastAsia="Times New Roman" w:hAnsi="Arial" w:cs="Arial"/>
          <w:color w:val="000000"/>
          <w:sz w:val="24"/>
          <w:szCs w:val="24"/>
          <w:lang w:eastAsia="en-GB"/>
        </w:rPr>
        <w:t xml:space="preserve">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 xml:space="preserve">overnment to consider the origins of this ‘concern’. In many cases it derives from the legitimate anxiety of victims, survivors and families to see justice done to the perpetrators of crimes or to be provided with information about the circumstances of a death or other incident. In some cases it derives from the frustration of investigators arising from the closing of avenues of investigation due to the loss or deterioration of forensic evidence, the death, illness or memory failure of witnesses or the obstruction of suspects and their fellow travellers. </w:t>
      </w:r>
      <w:r w:rsidR="001E3CF4" w:rsidRPr="00A55743">
        <w:rPr>
          <w:rFonts w:ascii="Arial" w:eastAsia="Times New Roman" w:hAnsi="Arial" w:cs="Arial"/>
          <w:color w:val="000000"/>
          <w:sz w:val="24"/>
          <w:szCs w:val="24"/>
          <w:lang w:eastAsia="en-GB"/>
        </w:rPr>
        <w:t>But it must also be recognised that there is a widespread perception that</w:t>
      </w:r>
      <w:r w:rsidRPr="00A55743">
        <w:rPr>
          <w:rFonts w:ascii="Arial" w:eastAsia="Times New Roman" w:hAnsi="Arial" w:cs="Arial"/>
          <w:color w:val="000000"/>
          <w:sz w:val="24"/>
          <w:szCs w:val="24"/>
          <w:lang w:eastAsia="en-GB"/>
        </w:rPr>
        <w:t xml:space="preserve"> in many cases it is a bogus concern raised by political factions, </w:t>
      </w:r>
      <w:r w:rsidR="008B7AE0" w:rsidRPr="00A55743">
        <w:rPr>
          <w:rFonts w:ascii="Arial" w:eastAsia="Times New Roman" w:hAnsi="Arial" w:cs="Arial"/>
          <w:color w:val="000000"/>
          <w:sz w:val="24"/>
          <w:szCs w:val="24"/>
          <w:lang w:eastAsia="en-GB"/>
        </w:rPr>
        <w:t>sectional N</w:t>
      </w:r>
      <w:r w:rsidR="001C29C4" w:rsidRPr="00A55743">
        <w:rPr>
          <w:rFonts w:ascii="Arial" w:eastAsia="Times New Roman" w:hAnsi="Arial" w:cs="Arial"/>
          <w:color w:val="000000"/>
          <w:sz w:val="24"/>
          <w:szCs w:val="24"/>
          <w:lang w:eastAsia="en-GB"/>
        </w:rPr>
        <w:t>on-</w:t>
      </w:r>
      <w:r w:rsidR="008B7AE0" w:rsidRPr="00A55743">
        <w:rPr>
          <w:rFonts w:ascii="Arial" w:eastAsia="Times New Roman" w:hAnsi="Arial" w:cs="Arial"/>
          <w:color w:val="000000"/>
          <w:sz w:val="24"/>
          <w:szCs w:val="24"/>
          <w:lang w:eastAsia="en-GB"/>
        </w:rPr>
        <w:t>G</w:t>
      </w:r>
      <w:r w:rsidR="001C29C4" w:rsidRPr="00A55743">
        <w:rPr>
          <w:rFonts w:ascii="Arial" w:eastAsia="Times New Roman" w:hAnsi="Arial" w:cs="Arial"/>
          <w:color w:val="000000"/>
          <w:sz w:val="24"/>
          <w:szCs w:val="24"/>
          <w:lang w:eastAsia="en-GB"/>
        </w:rPr>
        <w:t xml:space="preserve">overnmental </w:t>
      </w:r>
      <w:r w:rsidR="008B7AE0" w:rsidRPr="00A55743">
        <w:rPr>
          <w:rFonts w:ascii="Arial" w:eastAsia="Times New Roman" w:hAnsi="Arial" w:cs="Arial"/>
          <w:color w:val="000000"/>
          <w:sz w:val="24"/>
          <w:szCs w:val="24"/>
          <w:lang w:eastAsia="en-GB"/>
        </w:rPr>
        <w:t>O</w:t>
      </w:r>
      <w:r w:rsidR="001C29C4" w:rsidRPr="00A55743">
        <w:rPr>
          <w:rFonts w:ascii="Arial" w:eastAsia="Times New Roman" w:hAnsi="Arial" w:cs="Arial"/>
          <w:color w:val="000000"/>
          <w:sz w:val="24"/>
          <w:szCs w:val="24"/>
          <w:lang w:eastAsia="en-GB"/>
        </w:rPr>
        <w:t>rganisation</w:t>
      </w:r>
      <w:r w:rsidR="008B7AE0" w:rsidRPr="00A55743">
        <w:rPr>
          <w:rFonts w:ascii="Arial" w:eastAsia="Times New Roman" w:hAnsi="Arial" w:cs="Arial"/>
          <w:color w:val="000000"/>
          <w:sz w:val="24"/>
          <w:szCs w:val="24"/>
          <w:lang w:eastAsia="en-GB"/>
        </w:rPr>
        <w:t>s</w:t>
      </w:r>
      <w:r w:rsidR="001C29C4" w:rsidRPr="00A55743">
        <w:rPr>
          <w:rFonts w:ascii="Arial" w:eastAsia="Times New Roman" w:hAnsi="Arial" w:cs="Arial"/>
          <w:color w:val="000000"/>
          <w:sz w:val="24"/>
          <w:szCs w:val="24"/>
          <w:lang w:eastAsia="en-GB"/>
        </w:rPr>
        <w:t xml:space="preserve"> (NGOs)</w:t>
      </w:r>
      <w:r w:rsidR="008B7AE0" w:rsidRPr="00A55743">
        <w:rPr>
          <w:rFonts w:ascii="Arial" w:eastAsia="Times New Roman" w:hAnsi="Arial" w:cs="Arial"/>
          <w:color w:val="000000"/>
          <w:sz w:val="24"/>
          <w:szCs w:val="24"/>
          <w:lang w:eastAsia="en-GB"/>
        </w:rPr>
        <w:t xml:space="preserve"> and misguided academics and </w:t>
      </w:r>
      <w:r w:rsidR="00107ADD" w:rsidRPr="00A55743">
        <w:rPr>
          <w:rFonts w:ascii="Arial" w:eastAsia="Times New Roman" w:hAnsi="Arial" w:cs="Arial"/>
          <w:color w:val="000000"/>
          <w:sz w:val="24"/>
          <w:szCs w:val="24"/>
          <w:lang w:eastAsia="en-GB"/>
        </w:rPr>
        <w:t>G</w:t>
      </w:r>
      <w:r w:rsidR="008B7AE0" w:rsidRPr="00A55743">
        <w:rPr>
          <w:rFonts w:ascii="Arial" w:eastAsia="Times New Roman" w:hAnsi="Arial" w:cs="Arial"/>
          <w:color w:val="000000"/>
          <w:sz w:val="24"/>
          <w:szCs w:val="24"/>
          <w:lang w:eastAsia="en-GB"/>
        </w:rPr>
        <w:t xml:space="preserve">overnment </w:t>
      </w:r>
      <w:r w:rsidR="001C29C4" w:rsidRPr="00A55743">
        <w:rPr>
          <w:rFonts w:ascii="Arial" w:eastAsia="Times New Roman" w:hAnsi="Arial" w:cs="Arial"/>
          <w:color w:val="000000"/>
          <w:sz w:val="24"/>
          <w:szCs w:val="24"/>
          <w:lang w:eastAsia="en-GB"/>
        </w:rPr>
        <w:t>‘</w:t>
      </w:r>
      <w:r w:rsidR="008B7AE0" w:rsidRPr="00A55743">
        <w:rPr>
          <w:rFonts w:ascii="Arial" w:eastAsia="Times New Roman" w:hAnsi="Arial" w:cs="Arial"/>
          <w:color w:val="000000"/>
          <w:sz w:val="24"/>
          <w:szCs w:val="24"/>
          <w:lang w:eastAsia="en-GB"/>
        </w:rPr>
        <w:t>advisers</w:t>
      </w:r>
      <w:r w:rsidR="001C29C4" w:rsidRPr="00A55743">
        <w:rPr>
          <w:rFonts w:ascii="Arial" w:eastAsia="Times New Roman" w:hAnsi="Arial" w:cs="Arial"/>
          <w:color w:val="000000"/>
          <w:sz w:val="24"/>
          <w:szCs w:val="24"/>
          <w:lang w:eastAsia="en-GB"/>
        </w:rPr>
        <w:t>’</w:t>
      </w:r>
      <w:r w:rsidR="008B7AE0" w:rsidRPr="00A55743">
        <w:rPr>
          <w:rFonts w:ascii="Arial" w:eastAsia="Times New Roman" w:hAnsi="Arial" w:cs="Arial"/>
          <w:color w:val="000000"/>
          <w:sz w:val="24"/>
          <w:szCs w:val="24"/>
          <w:lang w:eastAsia="en-GB"/>
        </w:rPr>
        <w:t xml:space="preserve"> </w:t>
      </w:r>
      <w:r w:rsidR="001E3CF4" w:rsidRPr="00A55743">
        <w:rPr>
          <w:rFonts w:ascii="Arial" w:eastAsia="Times New Roman" w:hAnsi="Arial" w:cs="Arial"/>
          <w:color w:val="000000"/>
          <w:sz w:val="24"/>
          <w:szCs w:val="24"/>
          <w:lang w:eastAsia="en-GB"/>
        </w:rPr>
        <w:t xml:space="preserve">seeking </w:t>
      </w:r>
      <w:r w:rsidR="008B7AE0" w:rsidRPr="00A55743">
        <w:rPr>
          <w:rFonts w:ascii="Arial" w:eastAsia="Times New Roman" w:hAnsi="Arial" w:cs="Arial"/>
          <w:color w:val="000000"/>
          <w:sz w:val="24"/>
          <w:szCs w:val="24"/>
          <w:lang w:eastAsia="en-GB"/>
        </w:rPr>
        <w:t>to use the law and the institutions as tools in pursui</w:t>
      </w:r>
      <w:r w:rsidR="001E3CF4" w:rsidRPr="00A55743">
        <w:rPr>
          <w:rFonts w:ascii="Arial" w:eastAsia="Times New Roman" w:hAnsi="Arial" w:cs="Arial"/>
          <w:color w:val="000000"/>
          <w:sz w:val="24"/>
          <w:szCs w:val="24"/>
          <w:lang w:eastAsia="en-GB"/>
        </w:rPr>
        <w:t>t of</w:t>
      </w:r>
      <w:r w:rsidR="008B7AE0" w:rsidRPr="00A55743">
        <w:rPr>
          <w:rFonts w:ascii="Arial" w:eastAsia="Times New Roman" w:hAnsi="Arial" w:cs="Arial"/>
          <w:color w:val="000000"/>
          <w:sz w:val="24"/>
          <w:szCs w:val="24"/>
          <w:lang w:eastAsia="en-GB"/>
        </w:rPr>
        <w:t xml:space="preserve"> their own agenda.</w:t>
      </w:r>
      <w:r w:rsidR="00AA3C16" w:rsidRPr="00A55743">
        <w:rPr>
          <w:rFonts w:ascii="Arial" w:eastAsia="Times New Roman" w:hAnsi="Arial" w:cs="Arial"/>
          <w:color w:val="000000"/>
          <w:sz w:val="24"/>
          <w:szCs w:val="24"/>
          <w:lang w:eastAsia="en-GB"/>
        </w:rPr>
        <w:t xml:space="preserve"> If the institutions do not provide the outcomes which the</w:t>
      </w:r>
      <w:r w:rsidR="00770F5C" w:rsidRPr="00A55743">
        <w:rPr>
          <w:rFonts w:ascii="Arial" w:eastAsia="Times New Roman" w:hAnsi="Arial" w:cs="Arial"/>
          <w:color w:val="000000"/>
          <w:sz w:val="24"/>
          <w:szCs w:val="24"/>
          <w:lang w:eastAsia="en-GB"/>
        </w:rPr>
        <w:t>se elements</w:t>
      </w:r>
      <w:r w:rsidR="00AA3C16" w:rsidRPr="00A55743">
        <w:rPr>
          <w:rFonts w:ascii="Arial" w:eastAsia="Times New Roman" w:hAnsi="Arial" w:cs="Arial"/>
          <w:color w:val="000000"/>
          <w:sz w:val="24"/>
          <w:szCs w:val="24"/>
          <w:lang w:eastAsia="en-GB"/>
        </w:rPr>
        <w:t xml:space="preserve"> want then the law will be exploited (through Judicial Review, the Court of Appeal etc) without</w:t>
      </w:r>
      <w:r w:rsidR="00AA3C16">
        <w:rPr>
          <w:rFonts w:ascii="Arial" w:eastAsia="Times New Roman" w:hAnsi="Arial" w:cs="Arial"/>
          <w:color w:val="000000"/>
          <w:sz w:val="24"/>
          <w:szCs w:val="24"/>
          <w:lang w:eastAsia="en-GB"/>
        </w:rPr>
        <w:t xml:space="preserve"> consideration of </w:t>
      </w:r>
      <w:r w:rsidR="00AA3C16">
        <w:rPr>
          <w:rFonts w:ascii="Arial" w:eastAsia="Times New Roman" w:hAnsi="Arial" w:cs="Arial"/>
          <w:color w:val="000000"/>
          <w:sz w:val="24"/>
          <w:szCs w:val="24"/>
          <w:lang w:eastAsia="en-GB"/>
        </w:rPr>
        <w:lastRenderedPageBreak/>
        <w:t>cost</w:t>
      </w:r>
      <w:r w:rsidR="009F103B">
        <w:rPr>
          <w:rFonts w:ascii="Arial" w:eastAsia="Times New Roman" w:hAnsi="Arial" w:cs="Arial"/>
          <w:color w:val="000000"/>
          <w:sz w:val="24"/>
          <w:szCs w:val="24"/>
          <w:lang w:eastAsia="en-GB"/>
        </w:rPr>
        <w:t>;</w:t>
      </w:r>
      <w:r w:rsidR="00AA3C16">
        <w:rPr>
          <w:rFonts w:ascii="Arial" w:eastAsia="Times New Roman" w:hAnsi="Arial" w:cs="Arial"/>
          <w:color w:val="000000"/>
          <w:sz w:val="24"/>
          <w:szCs w:val="24"/>
          <w:lang w:eastAsia="en-GB"/>
        </w:rPr>
        <w:t xml:space="preserve"> individuals will be hounded out of public office</w:t>
      </w:r>
      <w:r w:rsidR="009F103B">
        <w:rPr>
          <w:rFonts w:ascii="Arial" w:eastAsia="Times New Roman" w:hAnsi="Arial" w:cs="Arial"/>
          <w:color w:val="000000"/>
          <w:sz w:val="24"/>
          <w:szCs w:val="24"/>
          <w:lang w:eastAsia="en-GB"/>
        </w:rPr>
        <w:t>;</w:t>
      </w:r>
      <w:r w:rsidR="00AA3C16">
        <w:rPr>
          <w:rFonts w:ascii="Arial" w:eastAsia="Times New Roman" w:hAnsi="Arial" w:cs="Arial"/>
          <w:color w:val="000000"/>
          <w:sz w:val="24"/>
          <w:szCs w:val="24"/>
          <w:lang w:eastAsia="en-GB"/>
        </w:rPr>
        <w:t xml:space="preserve"> and the institutions will be deemed to be unfit for purpose.</w:t>
      </w:r>
    </w:p>
    <w:p w14:paraId="4E0BE5FE" w14:textId="39831066" w:rsidR="00025C06" w:rsidRDefault="00025C06" w:rsidP="00166515">
      <w:pPr>
        <w:widowControl/>
        <w:spacing w:after="120"/>
        <w:ind w:left="-340" w:right="680"/>
        <w:contextualSpacing/>
        <w:jc w:val="both"/>
        <w:rPr>
          <w:rFonts w:ascii="Arial" w:eastAsia="Times New Roman" w:hAnsi="Arial" w:cs="Arial"/>
          <w:color w:val="000000"/>
          <w:sz w:val="24"/>
          <w:szCs w:val="24"/>
          <w:lang w:eastAsia="en-GB"/>
        </w:rPr>
      </w:pPr>
    </w:p>
    <w:p w14:paraId="7418EBB3" w14:textId="6EACED4A" w:rsidR="00025C06" w:rsidRDefault="00025C06"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Care should also be taken in relation to the terminology which is used when reviewing submissions. There </w:t>
      </w:r>
      <w:r w:rsidR="002E45A1">
        <w:rPr>
          <w:rFonts w:ascii="Arial" w:eastAsia="Times New Roman" w:hAnsi="Arial" w:cs="Arial"/>
          <w:color w:val="000000"/>
          <w:sz w:val="24"/>
          <w:szCs w:val="24"/>
          <w:lang w:eastAsia="en-GB"/>
        </w:rPr>
        <w:t xml:space="preserve">are </w:t>
      </w:r>
      <w:r>
        <w:rPr>
          <w:rFonts w:ascii="Arial" w:eastAsia="Times New Roman" w:hAnsi="Arial" w:cs="Arial"/>
          <w:color w:val="000000"/>
          <w:sz w:val="24"/>
          <w:szCs w:val="24"/>
          <w:lang w:eastAsia="en-GB"/>
        </w:rPr>
        <w:t>various groups which purport to represent victims</w:t>
      </w:r>
      <w:r w:rsidR="002E45A1">
        <w:rPr>
          <w:rFonts w:ascii="Arial" w:eastAsia="Times New Roman" w:hAnsi="Arial" w:cs="Arial"/>
          <w:color w:val="000000"/>
          <w:sz w:val="24"/>
          <w:szCs w:val="24"/>
          <w:lang w:eastAsia="en-GB"/>
        </w:rPr>
        <w:t xml:space="preserve"> and there is a Victims’ Commissioner. But some of these groups appear to have a sectional interest. And </w:t>
      </w:r>
      <w:r w:rsidR="00774438">
        <w:rPr>
          <w:rFonts w:ascii="Arial" w:eastAsia="Times New Roman" w:hAnsi="Arial" w:cs="Arial"/>
          <w:color w:val="000000"/>
          <w:sz w:val="24"/>
          <w:szCs w:val="24"/>
          <w:lang w:eastAsia="en-GB"/>
        </w:rPr>
        <w:t xml:space="preserve">an </w:t>
      </w:r>
      <w:r w:rsidR="002E45A1">
        <w:rPr>
          <w:rFonts w:ascii="Arial" w:eastAsia="Times New Roman" w:hAnsi="Arial" w:cs="Arial"/>
          <w:color w:val="000000"/>
          <w:sz w:val="24"/>
          <w:szCs w:val="24"/>
          <w:lang w:eastAsia="en-GB"/>
        </w:rPr>
        <w:t>examination of the statement of the umbrella</w:t>
      </w:r>
      <w:r>
        <w:rPr>
          <w:rFonts w:ascii="Arial" w:eastAsia="Times New Roman" w:hAnsi="Arial" w:cs="Arial"/>
          <w:color w:val="000000"/>
          <w:sz w:val="24"/>
          <w:szCs w:val="24"/>
          <w:lang w:eastAsia="en-GB"/>
        </w:rPr>
        <w:t xml:space="preserve"> </w:t>
      </w:r>
      <w:r w:rsidR="002E45A1">
        <w:rPr>
          <w:rFonts w:ascii="Arial" w:eastAsia="Times New Roman" w:hAnsi="Arial" w:cs="Arial"/>
          <w:color w:val="000000"/>
          <w:sz w:val="24"/>
          <w:szCs w:val="24"/>
          <w:lang w:eastAsia="en-GB"/>
        </w:rPr>
        <w:t>group Innocent Victims United (IVU) of 24</w:t>
      </w:r>
      <w:r w:rsidR="002E45A1" w:rsidRPr="002E45A1">
        <w:rPr>
          <w:rFonts w:ascii="Arial" w:eastAsia="Times New Roman" w:hAnsi="Arial" w:cs="Arial"/>
          <w:color w:val="000000"/>
          <w:sz w:val="24"/>
          <w:szCs w:val="24"/>
          <w:vertAlign w:val="superscript"/>
          <w:lang w:eastAsia="en-GB"/>
        </w:rPr>
        <w:t>th</w:t>
      </w:r>
      <w:r w:rsidR="002E45A1">
        <w:rPr>
          <w:rFonts w:ascii="Arial" w:eastAsia="Times New Roman" w:hAnsi="Arial" w:cs="Arial"/>
          <w:color w:val="000000"/>
          <w:sz w:val="24"/>
          <w:szCs w:val="24"/>
          <w:lang w:eastAsia="en-GB"/>
        </w:rPr>
        <w:t xml:space="preserve"> April would suggest that the Victims’ Commissioner does not enjoy the unqualified support of a significant constituency within the victim lobby.</w:t>
      </w:r>
    </w:p>
    <w:p w14:paraId="791F2F69" w14:textId="77777777" w:rsidR="00AA3C16" w:rsidRDefault="00AA3C16" w:rsidP="00166515">
      <w:pPr>
        <w:widowControl/>
        <w:spacing w:after="120"/>
        <w:ind w:left="-340" w:right="680"/>
        <w:contextualSpacing/>
        <w:jc w:val="both"/>
        <w:rPr>
          <w:rFonts w:ascii="Arial" w:eastAsia="Times New Roman" w:hAnsi="Arial" w:cs="Arial"/>
          <w:color w:val="000000"/>
          <w:sz w:val="24"/>
          <w:szCs w:val="24"/>
          <w:lang w:eastAsia="en-GB"/>
        </w:rPr>
      </w:pPr>
    </w:p>
    <w:p w14:paraId="2EE95002" w14:textId="0F5C898C" w:rsidR="008B7AE0" w:rsidRDefault="00AA3C16" w:rsidP="00AA3C16">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Therefore it is necessary to consider exactly what is failing in our current arrangements and to address that</w:t>
      </w:r>
      <w:r w:rsidR="00833EC0">
        <w:rPr>
          <w:rFonts w:ascii="Arial" w:eastAsia="Times New Roman" w:hAnsi="Arial" w:cs="Arial"/>
          <w:color w:val="000000"/>
          <w:sz w:val="24"/>
          <w:szCs w:val="24"/>
          <w:lang w:eastAsia="en-GB"/>
        </w:rPr>
        <w:t xml:space="preserve">. It should not be assumed that the PSNI’s Legacy Investigation Branch is incapable of playing a lead role in any new arrangements. </w:t>
      </w:r>
      <w:r w:rsidR="000C4FC6" w:rsidRPr="009936FE">
        <w:rPr>
          <w:rFonts w:ascii="Arial" w:eastAsia="Times New Roman" w:hAnsi="Arial" w:cs="Arial"/>
          <w:color w:val="000000"/>
          <w:sz w:val="24"/>
          <w:szCs w:val="24"/>
          <w:lang w:eastAsia="en-GB"/>
        </w:rPr>
        <w:t>Nor should it</w:t>
      </w:r>
      <w:r w:rsidR="00833EC0" w:rsidRPr="009936FE">
        <w:rPr>
          <w:rFonts w:ascii="Arial" w:eastAsia="Times New Roman" w:hAnsi="Arial" w:cs="Arial"/>
          <w:color w:val="000000"/>
          <w:sz w:val="24"/>
          <w:szCs w:val="24"/>
          <w:lang w:eastAsia="en-GB"/>
        </w:rPr>
        <w:t xml:space="preserve"> be assumed that a properly accountable PONI operating to ECHR and </w:t>
      </w:r>
      <w:r w:rsidR="00D85AAE" w:rsidRPr="009936FE">
        <w:rPr>
          <w:rFonts w:ascii="Arial" w:eastAsia="Times New Roman" w:hAnsi="Arial" w:cs="Arial"/>
          <w:color w:val="000000"/>
          <w:sz w:val="24"/>
          <w:szCs w:val="24"/>
          <w:lang w:eastAsia="en-GB"/>
        </w:rPr>
        <w:t xml:space="preserve">UK </w:t>
      </w:r>
      <w:r w:rsidR="00833EC0" w:rsidRPr="009936FE">
        <w:rPr>
          <w:rFonts w:ascii="Arial" w:eastAsia="Times New Roman" w:hAnsi="Arial" w:cs="Arial"/>
          <w:color w:val="000000"/>
          <w:sz w:val="24"/>
          <w:szCs w:val="24"/>
          <w:lang w:eastAsia="en-GB"/>
        </w:rPr>
        <w:t>case law standards is incapable of dealing with current complaints against police</w:t>
      </w:r>
      <w:r w:rsidR="000C4FC6" w:rsidRPr="009936FE">
        <w:rPr>
          <w:rFonts w:ascii="Arial" w:eastAsia="Times New Roman" w:hAnsi="Arial" w:cs="Arial"/>
          <w:color w:val="000000"/>
          <w:sz w:val="24"/>
          <w:szCs w:val="24"/>
          <w:lang w:eastAsia="en-GB"/>
        </w:rPr>
        <w:t xml:space="preserve"> or allegations of criminal behaviour by police officers</w:t>
      </w:r>
      <w:r w:rsidR="00833EC0" w:rsidRPr="009936FE">
        <w:rPr>
          <w:rFonts w:ascii="Arial" w:eastAsia="Times New Roman" w:hAnsi="Arial" w:cs="Arial"/>
          <w:color w:val="000000"/>
          <w:sz w:val="24"/>
          <w:szCs w:val="24"/>
          <w:lang w:eastAsia="en-GB"/>
        </w:rPr>
        <w:t xml:space="preserve">. A new </w:t>
      </w:r>
      <w:r w:rsidR="00936E21" w:rsidRPr="009936FE">
        <w:rPr>
          <w:rFonts w:ascii="Arial" w:eastAsia="Times New Roman" w:hAnsi="Arial" w:cs="Arial"/>
          <w:color w:val="000000"/>
          <w:sz w:val="24"/>
          <w:szCs w:val="24"/>
          <w:lang w:eastAsia="en-GB"/>
        </w:rPr>
        <w:t xml:space="preserve">and additional </w:t>
      </w:r>
      <w:r w:rsidR="00833EC0" w:rsidRPr="009936FE">
        <w:rPr>
          <w:rFonts w:ascii="Arial" w:eastAsia="Times New Roman" w:hAnsi="Arial" w:cs="Arial"/>
          <w:color w:val="000000"/>
          <w:sz w:val="24"/>
          <w:szCs w:val="24"/>
          <w:lang w:eastAsia="en-GB"/>
        </w:rPr>
        <w:t>body, along</w:t>
      </w:r>
      <w:r w:rsidR="00833EC0">
        <w:rPr>
          <w:rFonts w:ascii="Arial" w:eastAsia="Times New Roman" w:hAnsi="Arial" w:cs="Arial"/>
          <w:color w:val="000000"/>
          <w:sz w:val="24"/>
          <w:szCs w:val="24"/>
          <w:lang w:eastAsia="en-GB"/>
        </w:rPr>
        <w:t xml:space="preserve"> the lines of the ill-starred Historical Investigations Unit (HIU) as envisaged by the 2018 proposals, may not</w:t>
      </w:r>
      <w:r w:rsidR="009F103B">
        <w:rPr>
          <w:rFonts w:ascii="Arial" w:eastAsia="Times New Roman" w:hAnsi="Arial" w:cs="Arial"/>
          <w:color w:val="000000"/>
          <w:sz w:val="24"/>
          <w:szCs w:val="24"/>
          <w:lang w:eastAsia="en-GB"/>
        </w:rPr>
        <w:t xml:space="preserve"> in fact</w:t>
      </w:r>
      <w:r w:rsidR="00833EC0">
        <w:rPr>
          <w:rFonts w:ascii="Arial" w:eastAsia="Times New Roman" w:hAnsi="Arial" w:cs="Arial"/>
          <w:color w:val="000000"/>
          <w:sz w:val="24"/>
          <w:szCs w:val="24"/>
          <w:lang w:eastAsia="en-GB"/>
        </w:rPr>
        <w:t xml:space="preserve"> be required.</w:t>
      </w:r>
    </w:p>
    <w:p w14:paraId="62622BE9" w14:textId="6B3B6727" w:rsidR="00833EC0" w:rsidRDefault="00833EC0" w:rsidP="00AA3C16">
      <w:pPr>
        <w:widowControl/>
        <w:spacing w:after="120"/>
        <w:ind w:left="-340" w:right="680"/>
        <w:contextualSpacing/>
        <w:jc w:val="both"/>
        <w:rPr>
          <w:rFonts w:ascii="Arial" w:eastAsia="Times New Roman" w:hAnsi="Arial" w:cs="Arial"/>
          <w:color w:val="000000"/>
          <w:sz w:val="24"/>
          <w:szCs w:val="24"/>
          <w:lang w:eastAsia="en-GB"/>
        </w:rPr>
      </w:pPr>
    </w:p>
    <w:p w14:paraId="20ED7538" w14:textId="7E2C3D54" w:rsidR="006B6443" w:rsidRDefault="00833EC0" w:rsidP="0039420B">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the absence of more detailed information it is difficult to assess whether the new proposals are compliant with ECHR. We are aware of those who have argued that in respect of the obligations of the </w:t>
      </w:r>
      <w:r w:rsidR="001A45C0">
        <w:rPr>
          <w:rFonts w:ascii="Arial" w:eastAsia="Times New Roman" w:hAnsi="Arial" w:cs="Arial"/>
          <w:color w:val="000000"/>
          <w:sz w:val="24"/>
          <w:szCs w:val="24"/>
          <w:lang w:eastAsia="en-GB"/>
        </w:rPr>
        <w:t xml:space="preserve">UK </w:t>
      </w:r>
      <w:r>
        <w:rPr>
          <w:rFonts w:ascii="Arial" w:eastAsia="Times New Roman" w:hAnsi="Arial" w:cs="Arial"/>
          <w:color w:val="000000"/>
          <w:sz w:val="24"/>
          <w:szCs w:val="24"/>
          <w:lang w:eastAsia="en-GB"/>
        </w:rPr>
        <w:t>under ECHR there are inadequacies in re</w:t>
      </w:r>
      <w:r w:rsidR="00E070F9">
        <w:rPr>
          <w:rFonts w:ascii="Arial" w:eastAsia="Times New Roman" w:hAnsi="Arial" w:cs="Arial"/>
          <w:color w:val="000000"/>
          <w:sz w:val="24"/>
          <w:szCs w:val="24"/>
          <w:lang w:eastAsia="en-GB"/>
        </w:rPr>
        <w:t>gard to</w:t>
      </w:r>
      <w:r>
        <w:rPr>
          <w:rFonts w:ascii="Arial" w:eastAsia="Times New Roman" w:hAnsi="Arial" w:cs="Arial"/>
          <w:color w:val="000000"/>
          <w:sz w:val="24"/>
          <w:szCs w:val="24"/>
          <w:lang w:eastAsia="en-GB"/>
        </w:rPr>
        <w:t xml:space="preserve"> Article 2. We are also aware that there have been counter-arguments. Those who favour the current proposals can point to </w:t>
      </w:r>
      <w:r w:rsidR="0039420B">
        <w:rPr>
          <w:rFonts w:ascii="Arial" w:eastAsia="Times New Roman" w:hAnsi="Arial" w:cs="Arial"/>
          <w:color w:val="000000"/>
          <w:sz w:val="24"/>
          <w:szCs w:val="24"/>
          <w:lang w:eastAsia="en-GB"/>
        </w:rPr>
        <w:t>case law which suggests that there is absolutely no reason in law why the PSNI could not investigate legacy cases. In Bracknell v UK in 2007 the European Court of Human Rights (ECtHR) held that the PSNI was institutionally independent of the RUC</w:t>
      </w:r>
      <w:r w:rsidR="009936FE">
        <w:rPr>
          <w:rFonts w:ascii="Arial" w:eastAsia="Times New Roman" w:hAnsi="Arial" w:cs="Arial"/>
          <w:color w:val="000000"/>
          <w:sz w:val="24"/>
          <w:szCs w:val="24"/>
          <w:lang w:eastAsia="en-GB"/>
        </w:rPr>
        <w:t>GC</w:t>
      </w:r>
      <w:r w:rsidR="0039420B">
        <w:rPr>
          <w:rFonts w:ascii="Arial" w:eastAsia="Times New Roman" w:hAnsi="Arial" w:cs="Arial"/>
          <w:color w:val="000000"/>
          <w:sz w:val="24"/>
          <w:szCs w:val="24"/>
          <w:lang w:eastAsia="en-GB"/>
        </w:rPr>
        <w:t>. That must</w:t>
      </w:r>
      <w:r w:rsidR="009F103B">
        <w:rPr>
          <w:rFonts w:ascii="Arial" w:eastAsia="Times New Roman" w:hAnsi="Arial" w:cs="Arial"/>
          <w:color w:val="000000"/>
          <w:sz w:val="24"/>
          <w:szCs w:val="24"/>
          <w:lang w:eastAsia="en-GB"/>
        </w:rPr>
        <w:t xml:space="preserve"> surely</w:t>
      </w:r>
      <w:r w:rsidR="0039420B">
        <w:rPr>
          <w:rFonts w:ascii="Arial" w:eastAsia="Times New Roman" w:hAnsi="Arial" w:cs="Arial"/>
          <w:color w:val="000000"/>
          <w:sz w:val="24"/>
          <w:szCs w:val="24"/>
          <w:lang w:eastAsia="en-GB"/>
        </w:rPr>
        <w:t xml:space="preserve"> apply </w:t>
      </w:r>
      <w:r w:rsidR="0039420B" w:rsidRPr="0039420B">
        <w:rPr>
          <w:rFonts w:ascii="Arial" w:eastAsia="Times New Roman" w:hAnsi="Arial" w:cs="Arial"/>
          <w:i/>
          <w:iCs/>
          <w:color w:val="000000"/>
          <w:sz w:val="24"/>
          <w:szCs w:val="24"/>
          <w:lang w:eastAsia="en-GB"/>
        </w:rPr>
        <w:t>a fortiori</w:t>
      </w:r>
      <w:r w:rsidR="0039420B">
        <w:rPr>
          <w:rFonts w:ascii="Arial" w:eastAsia="Times New Roman" w:hAnsi="Arial" w:cs="Arial"/>
          <w:color w:val="000000"/>
          <w:sz w:val="24"/>
          <w:szCs w:val="24"/>
          <w:lang w:eastAsia="en-GB"/>
        </w:rPr>
        <w:t xml:space="preserve"> in 2020 and the future. All parties on the Policing Board presumably serve there because they believe that the PSNI can investigate current crime</w:t>
      </w:r>
      <w:r w:rsidR="009F103B">
        <w:rPr>
          <w:rFonts w:ascii="Arial" w:eastAsia="Times New Roman" w:hAnsi="Arial" w:cs="Arial"/>
          <w:color w:val="000000"/>
          <w:sz w:val="24"/>
          <w:szCs w:val="24"/>
          <w:lang w:eastAsia="en-GB"/>
        </w:rPr>
        <w:t xml:space="preserve"> in a manner which is independent and balanced</w:t>
      </w:r>
      <w:r w:rsidR="0039420B">
        <w:rPr>
          <w:rFonts w:ascii="Arial" w:eastAsia="Times New Roman" w:hAnsi="Arial" w:cs="Arial"/>
          <w:color w:val="000000"/>
          <w:sz w:val="24"/>
          <w:szCs w:val="24"/>
          <w:lang w:eastAsia="en-GB"/>
        </w:rPr>
        <w:t>. If there is no perceived bias in relation to current matters how can there be in relation to matters which took place before PSNI investigators even joined the force? A recent Court of Appeal finding has reinforced the credibility of the independence of the Chief Constable.</w:t>
      </w:r>
    </w:p>
    <w:p w14:paraId="7ADA3C42" w14:textId="2146B547" w:rsidR="00144124" w:rsidRDefault="00144124" w:rsidP="0039420B">
      <w:pPr>
        <w:widowControl/>
        <w:spacing w:after="120"/>
        <w:ind w:left="-340" w:right="680"/>
        <w:contextualSpacing/>
        <w:jc w:val="both"/>
        <w:rPr>
          <w:rFonts w:ascii="Arial" w:eastAsia="Times New Roman" w:hAnsi="Arial" w:cs="Arial"/>
          <w:color w:val="000000"/>
          <w:sz w:val="24"/>
          <w:szCs w:val="24"/>
          <w:lang w:eastAsia="en-GB"/>
        </w:rPr>
      </w:pPr>
    </w:p>
    <w:p w14:paraId="74B6E6FC" w14:textId="0BE7BB30" w:rsidR="00D87D21" w:rsidRDefault="00144124" w:rsidP="0039420B">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Belfast/Good Friday Agreement </w:t>
      </w:r>
      <w:r w:rsidR="00D87D21">
        <w:rPr>
          <w:rFonts w:ascii="Arial" w:eastAsia="Times New Roman" w:hAnsi="Arial" w:cs="Arial"/>
          <w:color w:val="000000"/>
          <w:sz w:val="24"/>
          <w:szCs w:val="24"/>
          <w:lang w:eastAsia="en-GB"/>
        </w:rPr>
        <w:t xml:space="preserve">(the Agreement) </w:t>
      </w:r>
      <w:r>
        <w:rPr>
          <w:rFonts w:ascii="Arial" w:eastAsia="Times New Roman" w:hAnsi="Arial" w:cs="Arial"/>
          <w:color w:val="000000"/>
          <w:sz w:val="24"/>
          <w:szCs w:val="24"/>
          <w:lang w:eastAsia="en-GB"/>
        </w:rPr>
        <w:t>has formed the basis for many developments in Northern Ireland during the past two decades. We are not aware of anything in the current proposals that would not be ‘compliant’</w:t>
      </w:r>
      <w:r w:rsidR="00D87D21">
        <w:rPr>
          <w:rFonts w:ascii="Arial" w:eastAsia="Times New Roman" w:hAnsi="Arial" w:cs="Arial"/>
          <w:color w:val="000000"/>
          <w:sz w:val="24"/>
          <w:szCs w:val="24"/>
          <w:lang w:eastAsia="en-GB"/>
        </w:rPr>
        <w:t xml:space="preserve"> with its provisions</w:t>
      </w:r>
      <w:r>
        <w:rPr>
          <w:rFonts w:ascii="Arial" w:eastAsia="Times New Roman" w:hAnsi="Arial" w:cs="Arial"/>
          <w:color w:val="000000"/>
          <w:sz w:val="24"/>
          <w:szCs w:val="24"/>
          <w:lang w:eastAsia="en-GB"/>
        </w:rPr>
        <w:t xml:space="preserve">. We would point out </w:t>
      </w:r>
      <w:r w:rsidR="00D87D21">
        <w:rPr>
          <w:rFonts w:ascii="Arial" w:eastAsia="Times New Roman" w:hAnsi="Arial" w:cs="Arial"/>
          <w:color w:val="000000"/>
          <w:sz w:val="24"/>
          <w:szCs w:val="24"/>
          <w:lang w:eastAsia="en-GB"/>
        </w:rPr>
        <w:t xml:space="preserve">however </w:t>
      </w:r>
      <w:r>
        <w:rPr>
          <w:rFonts w:ascii="Arial" w:eastAsia="Times New Roman" w:hAnsi="Arial" w:cs="Arial"/>
          <w:color w:val="000000"/>
          <w:sz w:val="24"/>
          <w:szCs w:val="24"/>
          <w:lang w:eastAsia="en-GB"/>
        </w:rPr>
        <w:t xml:space="preserve">that we </w:t>
      </w:r>
      <w:r w:rsidR="009F103B">
        <w:rPr>
          <w:rFonts w:ascii="Arial" w:eastAsia="Times New Roman" w:hAnsi="Arial" w:cs="Arial"/>
          <w:color w:val="000000"/>
          <w:sz w:val="24"/>
          <w:szCs w:val="24"/>
          <w:lang w:eastAsia="en-GB"/>
        </w:rPr>
        <w:t xml:space="preserve">fully </w:t>
      </w:r>
      <w:r>
        <w:rPr>
          <w:rFonts w:ascii="Arial" w:eastAsia="Times New Roman" w:hAnsi="Arial" w:cs="Arial"/>
          <w:color w:val="000000"/>
          <w:sz w:val="24"/>
          <w:szCs w:val="24"/>
          <w:lang w:eastAsia="en-GB"/>
        </w:rPr>
        <w:t>supported the creation of the independent system for investigating complaints against police that arose from th</w:t>
      </w:r>
      <w:r w:rsidR="00D87D21">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 xml:space="preserve"> </w:t>
      </w:r>
      <w:r w:rsidR="00D87D21">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greement</w:t>
      </w:r>
      <w:r w:rsidR="009F103B">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9F103B">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 xml:space="preserve">nd </w:t>
      </w:r>
      <w:r w:rsidR="009F103B">
        <w:rPr>
          <w:rFonts w:ascii="Arial" w:eastAsia="Times New Roman" w:hAnsi="Arial" w:cs="Arial"/>
          <w:color w:val="000000"/>
          <w:sz w:val="24"/>
          <w:szCs w:val="24"/>
          <w:lang w:eastAsia="en-GB"/>
        </w:rPr>
        <w:t xml:space="preserve">we would further point out </w:t>
      </w:r>
      <w:r>
        <w:rPr>
          <w:rFonts w:ascii="Arial" w:eastAsia="Times New Roman" w:hAnsi="Arial" w:cs="Arial"/>
          <w:color w:val="000000"/>
          <w:sz w:val="24"/>
          <w:szCs w:val="24"/>
          <w:lang w:eastAsia="en-GB"/>
        </w:rPr>
        <w:t xml:space="preserve">that the </w:t>
      </w:r>
      <w:r w:rsidR="009F103B">
        <w:rPr>
          <w:rFonts w:ascii="Arial" w:eastAsia="Times New Roman" w:hAnsi="Arial" w:cs="Arial"/>
          <w:color w:val="000000"/>
          <w:sz w:val="24"/>
          <w:szCs w:val="24"/>
          <w:lang w:eastAsia="en-GB"/>
        </w:rPr>
        <w:t xml:space="preserve">grotesque </w:t>
      </w:r>
      <w:r w:rsidR="0011669F">
        <w:rPr>
          <w:rFonts w:ascii="Arial" w:eastAsia="Times New Roman" w:hAnsi="Arial" w:cs="Arial"/>
          <w:color w:val="000000"/>
          <w:sz w:val="24"/>
          <w:szCs w:val="24"/>
          <w:lang w:eastAsia="en-GB"/>
        </w:rPr>
        <w:t xml:space="preserve">failings in the office of PONI which subsequently arose were the product of (i) </w:t>
      </w:r>
      <w:r w:rsidR="00D87D21">
        <w:rPr>
          <w:rFonts w:ascii="Arial" w:eastAsia="Times New Roman" w:hAnsi="Arial" w:cs="Arial"/>
          <w:color w:val="000000"/>
          <w:sz w:val="24"/>
          <w:szCs w:val="24"/>
          <w:lang w:eastAsia="en-GB"/>
        </w:rPr>
        <w:t xml:space="preserve">certain </w:t>
      </w:r>
      <w:r w:rsidR="0011669F">
        <w:rPr>
          <w:rFonts w:ascii="Arial" w:eastAsia="Times New Roman" w:hAnsi="Arial" w:cs="Arial"/>
          <w:color w:val="000000"/>
          <w:sz w:val="24"/>
          <w:szCs w:val="24"/>
          <w:lang w:eastAsia="en-GB"/>
        </w:rPr>
        <w:t>office-holders arrogating to themselves unlawfully powers which were never envisaged either by the Agreement or by the enabling legislation and (ii) secret political dealings which were never put to the police or to the public for consultation or consent.</w:t>
      </w:r>
      <w:r w:rsidR="00D87D21">
        <w:rPr>
          <w:rFonts w:ascii="Arial" w:eastAsia="Times New Roman" w:hAnsi="Arial" w:cs="Arial"/>
          <w:color w:val="000000"/>
          <w:sz w:val="24"/>
          <w:szCs w:val="24"/>
          <w:lang w:eastAsia="en-GB"/>
        </w:rPr>
        <w:t xml:space="preserve"> We therefore suspect that in respect of the Agreement ‘compliance’ as a consideration will in any case be</w:t>
      </w:r>
      <w:r w:rsidR="009F103B">
        <w:rPr>
          <w:rFonts w:ascii="Arial" w:eastAsia="Times New Roman" w:hAnsi="Arial" w:cs="Arial"/>
          <w:color w:val="000000"/>
          <w:sz w:val="24"/>
          <w:szCs w:val="24"/>
          <w:lang w:eastAsia="en-GB"/>
        </w:rPr>
        <w:t>,</w:t>
      </w:r>
      <w:r w:rsidR="00D87D21">
        <w:rPr>
          <w:rFonts w:ascii="Arial" w:eastAsia="Times New Roman" w:hAnsi="Arial" w:cs="Arial"/>
          <w:color w:val="000000"/>
          <w:sz w:val="24"/>
          <w:szCs w:val="24"/>
          <w:lang w:eastAsia="en-GB"/>
        </w:rPr>
        <w:t xml:space="preserve"> </w:t>
      </w:r>
      <w:r w:rsidR="009F103B">
        <w:rPr>
          <w:rFonts w:ascii="Arial" w:eastAsia="Times New Roman" w:hAnsi="Arial" w:cs="Arial"/>
          <w:color w:val="000000"/>
          <w:sz w:val="24"/>
          <w:szCs w:val="24"/>
          <w:lang w:eastAsia="en-GB"/>
        </w:rPr>
        <w:t xml:space="preserve">or become, </w:t>
      </w:r>
      <w:r w:rsidR="00D87D21">
        <w:rPr>
          <w:rFonts w:ascii="Arial" w:eastAsia="Times New Roman" w:hAnsi="Arial" w:cs="Arial"/>
          <w:color w:val="000000"/>
          <w:sz w:val="24"/>
          <w:szCs w:val="24"/>
          <w:lang w:eastAsia="en-GB"/>
        </w:rPr>
        <w:t>secondary to political expediency.</w:t>
      </w:r>
    </w:p>
    <w:p w14:paraId="5404C992" w14:textId="56B5DB87" w:rsidR="004B47CF" w:rsidRDefault="004B47CF" w:rsidP="0039420B">
      <w:pPr>
        <w:widowControl/>
        <w:spacing w:after="120"/>
        <w:ind w:left="-340" w:right="680"/>
        <w:contextualSpacing/>
        <w:jc w:val="both"/>
        <w:rPr>
          <w:rFonts w:ascii="Arial" w:eastAsia="Times New Roman" w:hAnsi="Arial" w:cs="Arial"/>
          <w:color w:val="000000"/>
          <w:sz w:val="24"/>
          <w:szCs w:val="24"/>
          <w:lang w:eastAsia="en-GB"/>
        </w:rPr>
      </w:pPr>
    </w:p>
    <w:p w14:paraId="5A503B15" w14:textId="2EEC770B" w:rsidR="00CC0854" w:rsidRDefault="004B47CF" w:rsidP="0039420B">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previous public comment (in relation to the 2018 proposals)</w:t>
      </w:r>
      <w:r w:rsidR="00FE750D">
        <w:rPr>
          <w:rFonts w:ascii="Arial" w:eastAsia="Times New Roman" w:hAnsi="Arial" w:cs="Arial"/>
          <w:color w:val="000000"/>
          <w:sz w:val="24"/>
          <w:szCs w:val="24"/>
          <w:lang w:eastAsia="en-GB"/>
        </w:rPr>
        <w:t xml:space="preserve"> the </w:t>
      </w:r>
      <w:r>
        <w:rPr>
          <w:rFonts w:ascii="Arial" w:eastAsia="Times New Roman" w:hAnsi="Arial" w:cs="Arial"/>
          <w:color w:val="000000"/>
          <w:sz w:val="24"/>
          <w:szCs w:val="24"/>
          <w:lang w:eastAsia="en-GB"/>
        </w:rPr>
        <w:t>Chairman of the Police Federation for Northern Ireland (PFNI) has expressed concern at the prospect of the creation of a system of parallel policing within the jurisdiction of Northern Ireland which would be implicit in the creation of the HIU or any similar body. We sympathise with this concern.</w:t>
      </w:r>
      <w:r w:rsidR="00CC0854">
        <w:rPr>
          <w:rFonts w:ascii="Arial" w:eastAsia="Times New Roman" w:hAnsi="Arial" w:cs="Arial"/>
          <w:color w:val="000000"/>
          <w:sz w:val="24"/>
          <w:szCs w:val="24"/>
          <w:lang w:eastAsia="en-GB"/>
        </w:rPr>
        <w:t xml:space="preserve"> It can of course be argued that in principle PONI represents a form of parallel policing, but this is to address a specific issue of independence and is consistent with policing models elsewhere.</w:t>
      </w:r>
    </w:p>
    <w:p w14:paraId="7A445887" w14:textId="77777777" w:rsidR="00CC0854" w:rsidRDefault="00CC0854" w:rsidP="0039420B">
      <w:pPr>
        <w:widowControl/>
        <w:spacing w:after="120"/>
        <w:ind w:left="-340" w:right="680"/>
        <w:contextualSpacing/>
        <w:jc w:val="both"/>
        <w:rPr>
          <w:rFonts w:ascii="Arial" w:eastAsia="Times New Roman" w:hAnsi="Arial" w:cs="Arial"/>
          <w:color w:val="000000"/>
          <w:sz w:val="24"/>
          <w:szCs w:val="24"/>
          <w:lang w:eastAsia="en-GB"/>
        </w:rPr>
      </w:pPr>
    </w:p>
    <w:p w14:paraId="7FB9B0F5" w14:textId="09156A15" w:rsidR="00077540" w:rsidRDefault="00CC0854" w:rsidP="0039420B">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We are aware that the present Chief Constable has little enthusiasm for taking on sole responsibility for legacy matters; and this is understandable. In his relationship with the Policing </w:t>
      </w:r>
      <w:r w:rsidR="00FE750D">
        <w:rPr>
          <w:rFonts w:ascii="Arial" w:eastAsia="Times New Roman" w:hAnsi="Arial" w:cs="Arial"/>
          <w:color w:val="000000"/>
          <w:sz w:val="24"/>
          <w:szCs w:val="24"/>
          <w:lang w:eastAsia="en-GB"/>
        </w:rPr>
        <w:t>B</w:t>
      </w:r>
      <w:r>
        <w:rPr>
          <w:rFonts w:ascii="Arial" w:eastAsia="Times New Roman" w:hAnsi="Arial" w:cs="Arial"/>
          <w:color w:val="000000"/>
          <w:sz w:val="24"/>
          <w:szCs w:val="24"/>
          <w:lang w:eastAsia="en-GB"/>
        </w:rPr>
        <w:t>oard to whom he is accountable this would be a complication and potentially even a source of difficulty</w:t>
      </w:r>
      <w:r w:rsidRPr="00483AD1">
        <w:rPr>
          <w:rFonts w:ascii="Arial" w:eastAsia="Times New Roman" w:hAnsi="Arial" w:cs="Arial"/>
          <w:color w:val="000000"/>
          <w:sz w:val="24"/>
          <w:szCs w:val="24"/>
          <w:lang w:eastAsia="en-GB"/>
        </w:rPr>
        <w:t xml:space="preserve">. It </w:t>
      </w:r>
      <w:r w:rsidR="00077540" w:rsidRPr="00483AD1">
        <w:rPr>
          <w:rFonts w:ascii="Arial" w:eastAsia="Times New Roman" w:hAnsi="Arial" w:cs="Arial"/>
          <w:color w:val="000000"/>
          <w:sz w:val="24"/>
          <w:szCs w:val="24"/>
          <w:lang w:eastAsia="en-GB"/>
        </w:rPr>
        <w:t>might</w:t>
      </w:r>
      <w:r w:rsidRPr="00483AD1">
        <w:rPr>
          <w:rFonts w:ascii="Arial" w:eastAsia="Times New Roman" w:hAnsi="Arial" w:cs="Arial"/>
          <w:color w:val="000000"/>
          <w:sz w:val="24"/>
          <w:szCs w:val="24"/>
          <w:lang w:eastAsia="en-GB"/>
        </w:rPr>
        <w:t xml:space="preserve"> make it more difficult to pursue the</w:t>
      </w:r>
      <w:r w:rsidR="00936E21" w:rsidRPr="00483AD1">
        <w:rPr>
          <w:rFonts w:ascii="Arial" w:eastAsia="Times New Roman" w:hAnsi="Arial" w:cs="Arial"/>
          <w:color w:val="000000"/>
          <w:sz w:val="24"/>
          <w:szCs w:val="24"/>
          <w:lang w:eastAsia="en-GB"/>
        </w:rPr>
        <w:t xml:space="preserve"> desirable</w:t>
      </w:r>
      <w:r w:rsidRPr="00483AD1">
        <w:rPr>
          <w:rFonts w:ascii="Arial" w:eastAsia="Times New Roman" w:hAnsi="Arial" w:cs="Arial"/>
          <w:color w:val="000000"/>
          <w:sz w:val="24"/>
          <w:szCs w:val="24"/>
          <w:lang w:eastAsia="en-GB"/>
        </w:rPr>
        <w:t xml:space="preserve"> goal of depoliticising policing here.</w:t>
      </w:r>
      <w:r w:rsidR="00077540" w:rsidRPr="00483AD1">
        <w:rPr>
          <w:rFonts w:ascii="Arial" w:eastAsia="Times New Roman" w:hAnsi="Arial" w:cs="Arial"/>
          <w:color w:val="000000"/>
          <w:sz w:val="24"/>
          <w:szCs w:val="24"/>
          <w:lang w:eastAsia="en-GB"/>
        </w:rPr>
        <w:t xml:space="preserve"> However if the challenge were to be approached with the standard of professional and impartial policing which is expected, and which is already evident in the handling of terrorism, sectarianism and organised crime, then </w:t>
      </w:r>
      <w:r w:rsidR="006E70C1" w:rsidRPr="00483AD1">
        <w:rPr>
          <w:rFonts w:ascii="Arial" w:eastAsia="Times New Roman" w:hAnsi="Arial" w:cs="Arial"/>
          <w:color w:val="000000"/>
          <w:sz w:val="24"/>
          <w:szCs w:val="24"/>
          <w:lang w:eastAsia="en-GB"/>
        </w:rPr>
        <w:t>practical success and public confidence</w:t>
      </w:r>
      <w:r w:rsidR="00077540" w:rsidRPr="00483AD1">
        <w:rPr>
          <w:rFonts w:ascii="Arial" w:eastAsia="Times New Roman" w:hAnsi="Arial" w:cs="Arial"/>
          <w:color w:val="000000"/>
          <w:sz w:val="24"/>
          <w:szCs w:val="24"/>
          <w:lang w:eastAsia="en-GB"/>
        </w:rPr>
        <w:t xml:space="preserve"> could be achieved.</w:t>
      </w:r>
    </w:p>
    <w:p w14:paraId="0B5A4167" w14:textId="77777777" w:rsidR="00077540" w:rsidRDefault="00077540" w:rsidP="0039420B">
      <w:pPr>
        <w:widowControl/>
        <w:spacing w:after="120"/>
        <w:ind w:left="-340" w:right="680"/>
        <w:contextualSpacing/>
        <w:jc w:val="both"/>
        <w:rPr>
          <w:rFonts w:ascii="Arial" w:eastAsia="Times New Roman" w:hAnsi="Arial" w:cs="Arial"/>
          <w:color w:val="000000"/>
          <w:sz w:val="24"/>
          <w:szCs w:val="24"/>
          <w:lang w:eastAsia="en-GB"/>
        </w:rPr>
      </w:pPr>
    </w:p>
    <w:p w14:paraId="19B39CB1" w14:textId="11C69BF8" w:rsidR="004B47CF" w:rsidRDefault="00CC0854" w:rsidP="0039420B">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would be demanding in terms of personnel, forensic capacity and supervision. But not only are these issues not insuperable, it could be argued that they are better addressed ‘in house’. At some stage and in some way the resources for new investigations and new family reporting systems are going to have to be found. There is no surplus of detectives</w:t>
      </w:r>
      <w:r w:rsidR="0018791B">
        <w:rPr>
          <w:rFonts w:ascii="Arial" w:eastAsia="Times New Roman" w:hAnsi="Arial" w:cs="Arial"/>
          <w:color w:val="000000"/>
          <w:sz w:val="24"/>
          <w:szCs w:val="24"/>
          <w:lang w:eastAsia="en-GB"/>
        </w:rPr>
        <w:t xml:space="preserve"> or forensic capability</w:t>
      </w:r>
      <w:r>
        <w:rPr>
          <w:rFonts w:ascii="Arial" w:eastAsia="Times New Roman" w:hAnsi="Arial" w:cs="Arial"/>
          <w:color w:val="000000"/>
          <w:sz w:val="24"/>
          <w:szCs w:val="24"/>
          <w:lang w:eastAsia="en-GB"/>
        </w:rPr>
        <w:t xml:space="preserve"> in Great Britain and no enthusiasm amongst mainland chief constables for sharing their scant resources. Surely it makes sense to use local knowledge and expertise, and</w:t>
      </w:r>
      <w:r w:rsidR="00556FD3">
        <w:rPr>
          <w:rFonts w:ascii="Arial" w:eastAsia="Times New Roman" w:hAnsi="Arial" w:cs="Arial"/>
          <w:color w:val="000000"/>
          <w:sz w:val="24"/>
          <w:szCs w:val="24"/>
          <w:lang w:eastAsia="en-GB"/>
        </w:rPr>
        <w:t xml:space="preserve"> to</w:t>
      </w:r>
      <w:r>
        <w:rPr>
          <w:rFonts w:ascii="Arial" w:eastAsia="Times New Roman" w:hAnsi="Arial" w:cs="Arial"/>
          <w:color w:val="000000"/>
          <w:sz w:val="24"/>
          <w:szCs w:val="24"/>
          <w:lang w:eastAsia="en-GB"/>
        </w:rPr>
        <w:t xml:space="preserve"> save money on travel, accommodation and other allowances, by developing a capability within the PSNI?</w:t>
      </w:r>
      <w:r w:rsidR="00FE750D">
        <w:rPr>
          <w:rFonts w:ascii="Arial" w:eastAsia="Times New Roman" w:hAnsi="Arial" w:cs="Arial"/>
          <w:color w:val="000000"/>
          <w:sz w:val="24"/>
          <w:szCs w:val="24"/>
          <w:lang w:eastAsia="en-GB"/>
        </w:rPr>
        <w:t xml:space="preserve"> In the world which emerges from the current </w:t>
      </w:r>
      <w:r w:rsidR="0018791B">
        <w:rPr>
          <w:rFonts w:ascii="Arial" w:eastAsia="Times New Roman" w:hAnsi="Arial" w:cs="Arial"/>
          <w:color w:val="000000"/>
          <w:sz w:val="24"/>
          <w:szCs w:val="24"/>
          <w:lang w:eastAsia="en-GB"/>
        </w:rPr>
        <w:t xml:space="preserve">Covid-19 </w:t>
      </w:r>
      <w:r w:rsidR="00FE750D">
        <w:rPr>
          <w:rFonts w:ascii="Arial" w:eastAsia="Times New Roman" w:hAnsi="Arial" w:cs="Arial"/>
          <w:color w:val="000000"/>
          <w:sz w:val="24"/>
          <w:szCs w:val="24"/>
          <w:lang w:eastAsia="en-GB"/>
        </w:rPr>
        <w:t xml:space="preserve">virus crisis </w:t>
      </w:r>
      <w:r w:rsidR="00107ADD">
        <w:rPr>
          <w:rFonts w:ascii="Arial" w:eastAsia="Times New Roman" w:hAnsi="Arial" w:cs="Arial"/>
          <w:color w:val="000000"/>
          <w:sz w:val="24"/>
          <w:szCs w:val="24"/>
          <w:lang w:eastAsia="en-GB"/>
        </w:rPr>
        <w:t>G</w:t>
      </w:r>
      <w:r w:rsidR="00FE750D">
        <w:rPr>
          <w:rFonts w:ascii="Arial" w:eastAsia="Times New Roman" w:hAnsi="Arial" w:cs="Arial"/>
          <w:color w:val="000000"/>
          <w:sz w:val="24"/>
          <w:szCs w:val="24"/>
          <w:lang w:eastAsia="en-GB"/>
        </w:rPr>
        <w:t xml:space="preserve">overnment money will naturally be in short supply for criminal justice purposes; but whatever system is chosen, it will be funded by the UK taxpayer whether the money be administered by Whitehall or </w:t>
      </w:r>
      <w:r w:rsidR="0018791B">
        <w:rPr>
          <w:rFonts w:ascii="Arial" w:eastAsia="Times New Roman" w:hAnsi="Arial" w:cs="Arial"/>
          <w:color w:val="000000"/>
          <w:sz w:val="24"/>
          <w:szCs w:val="24"/>
          <w:lang w:eastAsia="en-GB"/>
        </w:rPr>
        <w:t xml:space="preserve">by </w:t>
      </w:r>
      <w:r w:rsidR="00FE750D">
        <w:rPr>
          <w:rFonts w:ascii="Arial" w:eastAsia="Times New Roman" w:hAnsi="Arial" w:cs="Arial"/>
          <w:color w:val="000000"/>
          <w:sz w:val="24"/>
          <w:szCs w:val="24"/>
          <w:lang w:eastAsia="en-GB"/>
        </w:rPr>
        <w:t>Stormont.</w:t>
      </w:r>
    </w:p>
    <w:p w14:paraId="4B6A16A0" w14:textId="3FF2D855" w:rsidR="00FE750D" w:rsidRDefault="00FE750D" w:rsidP="0039420B">
      <w:pPr>
        <w:widowControl/>
        <w:spacing w:after="120"/>
        <w:ind w:left="-340" w:right="680"/>
        <w:contextualSpacing/>
        <w:jc w:val="both"/>
        <w:rPr>
          <w:rFonts w:ascii="Arial" w:eastAsia="Times New Roman" w:hAnsi="Arial" w:cs="Arial"/>
          <w:color w:val="000000"/>
          <w:sz w:val="24"/>
          <w:szCs w:val="24"/>
          <w:lang w:eastAsia="en-GB"/>
        </w:rPr>
      </w:pPr>
    </w:p>
    <w:p w14:paraId="62621768" w14:textId="70481531" w:rsidR="00FE750D" w:rsidRDefault="00FE750D" w:rsidP="0039420B">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may be an appropriate time for the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 xml:space="preserve">overnment to revisit just how many cases it proposes to deal with - and with what system of </w:t>
      </w:r>
      <w:r w:rsidRPr="00483AD1">
        <w:rPr>
          <w:rFonts w:ascii="Arial" w:eastAsia="Times New Roman" w:hAnsi="Arial" w:cs="Arial"/>
          <w:color w:val="000000"/>
          <w:sz w:val="24"/>
          <w:szCs w:val="24"/>
          <w:lang w:eastAsia="en-GB"/>
        </w:rPr>
        <w:t>prioritising</w:t>
      </w:r>
      <w:r w:rsidR="00292CF8" w:rsidRPr="00483AD1">
        <w:rPr>
          <w:rFonts w:ascii="Arial" w:eastAsia="Times New Roman" w:hAnsi="Arial" w:cs="Arial"/>
          <w:color w:val="000000"/>
          <w:sz w:val="24"/>
          <w:szCs w:val="24"/>
          <w:lang w:eastAsia="en-GB"/>
        </w:rPr>
        <w:t xml:space="preserve"> those cases</w:t>
      </w:r>
      <w:r w:rsidRPr="00483AD1">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It can then make </w:t>
      </w:r>
      <w:r w:rsidR="00B35E88">
        <w:rPr>
          <w:rFonts w:ascii="Arial" w:eastAsia="Times New Roman" w:hAnsi="Arial" w:cs="Arial"/>
          <w:color w:val="000000"/>
          <w:sz w:val="24"/>
          <w:szCs w:val="24"/>
          <w:lang w:eastAsia="en-GB"/>
        </w:rPr>
        <w:t xml:space="preserve">a </w:t>
      </w:r>
      <w:r>
        <w:rPr>
          <w:rFonts w:ascii="Arial" w:eastAsia="Times New Roman" w:hAnsi="Arial" w:cs="Arial"/>
          <w:color w:val="000000"/>
          <w:sz w:val="24"/>
          <w:szCs w:val="24"/>
          <w:lang w:eastAsia="en-GB"/>
        </w:rPr>
        <w:t xml:space="preserve">rough assessment of how </w:t>
      </w:r>
      <w:r w:rsidR="00B35E88">
        <w:rPr>
          <w:rFonts w:ascii="Arial" w:eastAsia="Times New Roman" w:hAnsi="Arial" w:cs="Arial"/>
          <w:color w:val="000000"/>
          <w:sz w:val="24"/>
          <w:szCs w:val="24"/>
          <w:lang w:eastAsia="en-GB"/>
        </w:rPr>
        <w:t xml:space="preserve">long this will take and how </w:t>
      </w:r>
      <w:r>
        <w:rPr>
          <w:rFonts w:ascii="Arial" w:eastAsia="Times New Roman" w:hAnsi="Arial" w:cs="Arial"/>
          <w:color w:val="000000"/>
          <w:sz w:val="24"/>
          <w:szCs w:val="24"/>
          <w:lang w:eastAsia="en-GB"/>
        </w:rPr>
        <w:t xml:space="preserve">much </w:t>
      </w:r>
      <w:r w:rsidR="00B35E88">
        <w:rPr>
          <w:rFonts w:ascii="Arial" w:eastAsia="Times New Roman" w:hAnsi="Arial" w:cs="Arial"/>
          <w:color w:val="000000"/>
          <w:sz w:val="24"/>
          <w:szCs w:val="24"/>
          <w:lang w:eastAsia="en-GB"/>
        </w:rPr>
        <w:t>it</w:t>
      </w:r>
      <w:r>
        <w:rPr>
          <w:rFonts w:ascii="Arial" w:eastAsia="Times New Roman" w:hAnsi="Arial" w:cs="Arial"/>
          <w:color w:val="000000"/>
          <w:sz w:val="24"/>
          <w:szCs w:val="24"/>
          <w:lang w:eastAsia="en-GB"/>
        </w:rPr>
        <w:t xml:space="preserve"> will all cost. It seems to us to be unlikely that any calculation will produce the conclusion that it will be better to bring in</w:t>
      </w:r>
      <w:r w:rsidR="0018791B">
        <w:rPr>
          <w:rFonts w:ascii="Arial" w:eastAsia="Times New Roman" w:hAnsi="Arial" w:cs="Arial"/>
          <w:color w:val="000000"/>
          <w:sz w:val="24"/>
          <w:szCs w:val="24"/>
          <w:lang w:eastAsia="en-GB"/>
        </w:rPr>
        <w:t xml:space="preserve"> for the resultant task</w:t>
      </w:r>
      <w:r>
        <w:rPr>
          <w:rFonts w:ascii="Arial" w:eastAsia="Times New Roman" w:hAnsi="Arial" w:cs="Arial"/>
          <w:color w:val="000000"/>
          <w:sz w:val="24"/>
          <w:szCs w:val="24"/>
          <w:lang w:eastAsia="en-GB"/>
        </w:rPr>
        <w:t xml:space="preserve"> a large number of untrained women and men with no local knowledge, no contextual appreciation and </w:t>
      </w:r>
      <w:r w:rsidR="00FE33B6">
        <w:rPr>
          <w:rFonts w:ascii="Arial" w:eastAsia="Times New Roman" w:hAnsi="Arial" w:cs="Arial"/>
          <w:color w:val="000000"/>
          <w:sz w:val="24"/>
          <w:szCs w:val="24"/>
          <w:lang w:eastAsia="en-GB"/>
        </w:rPr>
        <w:t xml:space="preserve">at </w:t>
      </w:r>
      <w:r>
        <w:rPr>
          <w:rFonts w:ascii="Arial" w:eastAsia="Times New Roman" w:hAnsi="Arial" w:cs="Arial"/>
          <w:color w:val="000000"/>
          <w:sz w:val="24"/>
          <w:szCs w:val="24"/>
          <w:lang w:eastAsia="en-GB"/>
        </w:rPr>
        <w:t xml:space="preserve">a significant cost </w:t>
      </w:r>
      <w:r w:rsidR="00FE33B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for relocation expenses</w:t>
      </w:r>
      <w:r w:rsidR="00FE33B6">
        <w:rPr>
          <w:rFonts w:ascii="Arial" w:eastAsia="Times New Roman" w:hAnsi="Arial" w:cs="Arial"/>
          <w:color w:val="000000"/>
          <w:sz w:val="24"/>
          <w:szCs w:val="24"/>
          <w:lang w:eastAsia="en-GB"/>
        </w:rPr>
        <w:t>)</w:t>
      </w:r>
      <w:r w:rsidR="00B35E88">
        <w:rPr>
          <w:rFonts w:ascii="Arial" w:eastAsia="Times New Roman" w:hAnsi="Arial" w:cs="Arial"/>
          <w:color w:val="000000"/>
          <w:sz w:val="24"/>
          <w:szCs w:val="24"/>
          <w:lang w:eastAsia="en-GB"/>
        </w:rPr>
        <w:t xml:space="preserve"> – even if they can be found</w:t>
      </w:r>
      <w:r>
        <w:rPr>
          <w:rFonts w:ascii="Arial" w:eastAsia="Times New Roman" w:hAnsi="Arial" w:cs="Arial"/>
          <w:color w:val="000000"/>
          <w:sz w:val="24"/>
          <w:szCs w:val="24"/>
          <w:lang w:eastAsia="en-GB"/>
        </w:rPr>
        <w:t>.</w:t>
      </w:r>
    </w:p>
    <w:p w14:paraId="54C30F68" w14:textId="5A32FAF8" w:rsidR="00CC0854" w:rsidRDefault="00CC0854" w:rsidP="0039420B">
      <w:pPr>
        <w:widowControl/>
        <w:spacing w:after="120"/>
        <w:ind w:left="-340" w:right="680"/>
        <w:contextualSpacing/>
        <w:jc w:val="both"/>
        <w:rPr>
          <w:rFonts w:ascii="Arial" w:eastAsia="Times New Roman" w:hAnsi="Arial" w:cs="Arial"/>
          <w:color w:val="000000"/>
          <w:sz w:val="24"/>
          <w:szCs w:val="24"/>
          <w:lang w:eastAsia="en-GB"/>
        </w:rPr>
      </w:pPr>
    </w:p>
    <w:p w14:paraId="70D2F566" w14:textId="46D85943" w:rsidR="00CC0854" w:rsidRDefault="00CC0854" w:rsidP="0039420B">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Further to the arguments which have been adduced above in relation to independence and balance we would </w:t>
      </w:r>
      <w:r w:rsidR="00FE33B6">
        <w:rPr>
          <w:rFonts w:ascii="Arial" w:eastAsia="Times New Roman" w:hAnsi="Arial" w:cs="Arial"/>
          <w:color w:val="000000"/>
          <w:sz w:val="24"/>
          <w:szCs w:val="24"/>
          <w:lang w:eastAsia="en-GB"/>
        </w:rPr>
        <w:t>refer</w:t>
      </w:r>
      <w:r w:rsidR="00827C53">
        <w:rPr>
          <w:rFonts w:ascii="Arial" w:eastAsia="Times New Roman" w:hAnsi="Arial" w:cs="Arial"/>
          <w:color w:val="000000"/>
          <w:sz w:val="24"/>
          <w:szCs w:val="24"/>
          <w:lang w:eastAsia="en-GB"/>
        </w:rPr>
        <w:t xml:space="preserve"> to the suggestions which have been made by</w:t>
      </w:r>
      <w:r w:rsidR="0089650E">
        <w:rPr>
          <w:rFonts w:ascii="Arial" w:eastAsia="Times New Roman" w:hAnsi="Arial" w:cs="Arial"/>
          <w:color w:val="000000"/>
          <w:sz w:val="24"/>
          <w:szCs w:val="24"/>
          <w:lang w:eastAsia="en-GB"/>
        </w:rPr>
        <w:t xml:space="preserve"> the</w:t>
      </w:r>
      <w:r w:rsidR="00827C53">
        <w:rPr>
          <w:rFonts w:ascii="Arial" w:eastAsia="Times New Roman" w:hAnsi="Arial" w:cs="Arial"/>
          <w:color w:val="000000"/>
          <w:sz w:val="24"/>
          <w:szCs w:val="24"/>
          <w:lang w:eastAsia="en-GB"/>
        </w:rPr>
        <w:t xml:space="preserve"> PFNI concerning the appointment of an ‘outside’ Head of Unit</w:t>
      </w:r>
      <w:r w:rsidR="00FE33B6">
        <w:rPr>
          <w:rFonts w:ascii="Arial" w:eastAsia="Times New Roman" w:hAnsi="Arial" w:cs="Arial"/>
          <w:color w:val="000000"/>
          <w:sz w:val="24"/>
          <w:szCs w:val="24"/>
          <w:lang w:eastAsia="en-GB"/>
        </w:rPr>
        <w:t xml:space="preserve"> for the LIB</w:t>
      </w:r>
      <w:r w:rsidR="00827C53">
        <w:rPr>
          <w:rFonts w:ascii="Arial" w:eastAsia="Times New Roman" w:hAnsi="Arial" w:cs="Arial"/>
          <w:color w:val="000000"/>
          <w:sz w:val="24"/>
          <w:szCs w:val="24"/>
          <w:lang w:eastAsia="en-GB"/>
        </w:rPr>
        <w:t xml:space="preserve"> in the rank of Deputy Chief Constable, answerable to the </w:t>
      </w:r>
      <w:r w:rsidR="00B35E88">
        <w:rPr>
          <w:rFonts w:ascii="Arial" w:eastAsia="Times New Roman" w:hAnsi="Arial" w:cs="Arial"/>
          <w:color w:val="000000"/>
          <w:sz w:val="24"/>
          <w:szCs w:val="24"/>
          <w:lang w:eastAsia="en-GB"/>
        </w:rPr>
        <w:t>C</w:t>
      </w:r>
      <w:r w:rsidR="00827C53">
        <w:rPr>
          <w:rFonts w:ascii="Arial" w:eastAsia="Times New Roman" w:hAnsi="Arial" w:cs="Arial"/>
          <w:color w:val="000000"/>
          <w:sz w:val="24"/>
          <w:szCs w:val="24"/>
          <w:lang w:eastAsia="en-GB"/>
        </w:rPr>
        <w:t xml:space="preserve">hief </w:t>
      </w:r>
      <w:r w:rsidR="00B35E88">
        <w:rPr>
          <w:rFonts w:ascii="Arial" w:eastAsia="Times New Roman" w:hAnsi="Arial" w:cs="Arial"/>
          <w:color w:val="000000"/>
          <w:sz w:val="24"/>
          <w:szCs w:val="24"/>
          <w:lang w:eastAsia="en-GB"/>
        </w:rPr>
        <w:t>C</w:t>
      </w:r>
      <w:r w:rsidR="00827C53">
        <w:rPr>
          <w:rFonts w:ascii="Arial" w:eastAsia="Times New Roman" w:hAnsi="Arial" w:cs="Arial"/>
          <w:color w:val="000000"/>
          <w:sz w:val="24"/>
          <w:szCs w:val="24"/>
          <w:lang w:eastAsia="en-GB"/>
        </w:rPr>
        <w:t xml:space="preserve">onstable of the PSNI and the Policing Board. There are also </w:t>
      </w:r>
      <w:r w:rsidR="00B35E88">
        <w:rPr>
          <w:rFonts w:ascii="Arial" w:eastAsia="Times New Roman" w:hAnsi="Arial" w:cs="Arial"/>
          <w:color w:val="000000"/>
          <w:sz w:val="24"/>
          <w:szCs w:val="24"/>
          <w:lang w:eastAsia="en-GB"/>
        </w:rPr>
        <w:t xml:space="preserve">well-tried </w:t>
      </w:r>
      <w:r w:rsidR="00827C53">
        <w:rPr>
          <w:rFonts w:ascii="Arial" w:eastAsia="Times New Roman" w:hAnsi="Arial" w:cs="Arial"/>
          <w:color w:val="000000"/>
          <w:sz w:val="24"/>
          <w:szCs w:val="24"/>
          <w:lang w:eastAsia="en-GB"/>
        </w:rPr>
        <w:t xml:space="preserve">mechanisms for using lay advisors in </w:t>
      </w:r>
      <w:r w:rsidR="00B35E88">
        <w:rPr>
          <w:rFonts w:ascii="Arial" w:eastAsia="Times New Roman" w:hAnsi="Arial" w:cs="Arial"/>
          <w:color w:val="000000"/>
          <w:sz w:val="24"/>
          <w:szCs w:val="24"/>
          <w:lang w:eastAsia="en-GB"/>
        </w:rPr>
        <w:t xml:space="preserve">major (and potentially difficult or contentious) </w:t>
      </w:r>
      <w:r w:rsidR="00827C53">
        <w:rPr>
          <w:rFonts w:ascii="Arial" w:eastAsia="Times New Roman" w:hAnsi="Arial" w:cs="Arial"/>
          <w:color w:val="000000"/>
          <w:sz w:val="24"/>
          <w:szCs w:val="24"/>
          <w:lang w:eastAsia="en-GB"/>
        </w:rPr>
        <w:t>police investigations which have proved to be effective in maintaining public confidence elsewhere.</w:t>
      </w:r>
    </w:p>
    <w:p w14:paraId="5AFDAE55" w14:textId="5115DE66" w:rsidR="008D0295" w:rsidRDefault="008D0295" w:rsidP="0039420B">
      <w:pPr>
        <w:widowControl/>
        <w:spacing w:after="120"/>
        <w:ind w:left="-340" w:right="680"/>
        <w:contextualSpacing/>
        <w:jc w:val="both"/>
        <w:rPr>
          <w:rFonts w:ascii="Arial" w:eastAsia="Times New Roman" w:hAnsi="Arial" w:cs="Arial"/>
          <w:color w:val="000000"/>
          <w:sz w:val="24"/>
          <w:szCs w:val="24"/>
          <w:lang w:eastAsia="en-GB"/>
        </w:rPr>
      </w:pPr>
    </w:p>
    <w:p w14:paraId="0C374946" w14:textId="77777777" w:rsidR="008D0295" w:rsidRDefault="008D0295" w:rsidP="008D029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model would also readily accommodate the concept of a Legacy Commissioner. We recommend that the Legacy Commissioner should be a person of high judicial standing with a small personal secretariat and a range of functions and responsibilities on legacy matters. In relation to the present issues the Legacy Commissioner would act as the arbiter of whether or not the threshold of compelling new evidence had been reached in order to justify or trigger a new investigation or reinvestigation of a case. He or she would also check all family reports for thoroughness and adherence to ECHR standards prior to release. This would help to secure public confidence in the institutions.</w:t>
      </w:r>
    </w:p>
    <w:p w14:paraId="415A2A5A" w14:textId="77777777" w:rsidR="008D0295" w:rsidRDefault="008D0295" w:rsidP="008D0295">
      <w:pPr>
        <w:widowControl/>
        <w:spacing w:after="120"/>
        <w:ind w:left="-340" w:right="680"/>
        <w:contextualSpacing/>
        <w:jc w:val="both"/>
        <w:rPr>
          <w:rFonts w:ascii="Arial" w:eastAsia="Times New Roman" w:hAnsi="Arial" w:cs="Arial"/>
          <w:color w:val="000000"/>
          <w:sz w:val="24"/>
          <w:szCs w:val="24"/>
          <w:lang w:eastAsia="en-GB"/>
        </w:rPr>
      </w:pPr>
    </w:p>
    <w:p w14:paraId="4350D739" w14:textId="6DA18B47" w:rsidR="0006291A" w:rsidRDefault="00827C53" w:rsidP="008D029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addition it should be pointed out that the 2018 proposals lacked any mechanism for a member of the public or the subject of an investigation to make a complaint about the conduct of the HIU. (This serious failing and </w:t>
      </w:r>
      <w:r w:rsidR="002458AB">
        <w:rPr>
          <w:rFonts w:ascii="Arial" w:eastAsia="Times New Roman" w:hAnsi="Arial" w:cs="Arial"/>
          <w:color w:val="000000"/>
          <w:sz w:val="24"/>
          <w:szCs w:val="24"/>
          <w:lang w:eastAsia="en-GB"/>
        </w:rPr>
        <w:t xml:space="preserve">gross </w:t>
      </w:r>
      <w:r>
        <w:rPr>
          <w:rFonts w:ascii="Arial" w:eastAsia="Times New Roman" w:hAnsi="Arial" w:cs="Arial"/>
          <w:color w:val="000000"/>
          <w:sz w:val="24"/>
          <w:szCs w:val="24"/>
          <w:lang w:eastAsia="en-GB"/>
        </w:rPr>
        <w:t xml:space="preserve">breach of ECHR provisions remains in place in respect of PONI after 13 years of </w:t>
      </w:r>
      <w:r w:rsidR="00B35E88">
        <w:rPr>
          <w:rFonts w:ascii="Arial" w:eastAsia="Times New Roman" w:hAnsi="Arial" w:cs="Arial"/>
          <w:color w:val="000000"/>
          <w:sz w:val="24"/>
          <w:szCs w:val="24"/>
          <w:lang w:eastAsia="en-GB"/>
        </w:rPr>
        <w:t xml:space="preserve">fruitless </w:t>
      </w:r>
      <w:r>
        <w:rPr>
          <w:rFonts w:ascii="Arial" w:eastAsia="Times New Roman" w:hAnsi="Arial" w:cs="Arial"/>
          <w:color w:val="000000"/>
          <w:sz w:val="24"/>
          <w:szCs w:val="24"/>
          <w:lang w:eastAsia="en-GB"/>
        </w:rPr>
        <w:t>attempts by the Association to have this abuse addressed by</w:t>
      </w:r>
      <w:r w:rsidR="002458AB">
        <w:rPr>
          <w:rFonts w:ascii="Arial" w:eastAsia="Times New Roman" w:hAnsi="Arial" w:cs="Arial"/>
          <w:color w:val="000000"/>
          <w:sz w:val="24"/>
          <w:szCs w:val="24"/>
          <w:lang w:eastAsia="en-GB"/>
        </w:rPr>
        <w:t xml:space="preserve"> the G</w:t>
      </w:r>
      <w:r>
        <w:rPr>
          <w:rFonts w:ascii="Arial" w:eastAsia="Times New Roman" w:hAnsi="Arial" w:cs="Arial"/>
          <w:color w:val="000000"/>
          <w:sz w:val="24"/>
          <w:szCs w:val="24"/>
          <w:lang w:eastAsia="en-GB"/>
        </w:rPr>
        <w:t xml:space="preserve">overnment). If future legacy investigations were to be undertaken as we recommend by a </w:t>
      </w:r>
      <w:r w:rsidR="006213B2">
        <w:rPr>
          <w:rFonts w:ascii="Arial" w:eastAsia="Times New Roman" w:hAnsi="Arial" w:cs="Arial"/>
          <w:color w:val="000000"/>
          <w:sz w:val="24"/>
          <w:szCs w:val="24"/>
          <w:lang w:eastAsia="en-GB"/>
        </w:rPr>
        <w:t xml:space="preserve">department within the PSNI such as the </w:t>
      </w:r>
      <w:r>
        <w:rPr>
          <w:rFonts w:ascii="Arial" w:eastAsia="Times New Roman" w:hAnsi="Arial" w:cs="Arial"/>
          <w:color w:val="000000"/>
          <w:sz w:val="24"/>
          <w:szCs w:val="24"/>
          <w:lang w:eastAsia="en-GB"/>
        </w:rPr>
        <w:t>Legacy Investigation</w:t>
      </w:r>
      <w:r w:rsidR="00C3544E">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Branch then all personnel would be subject not only to the law but also </w:t>
      </w:r>
      <w:r>
        <w:rPr>
          <w:rFonts w:ascii="Arial" w:eastAsia="Times New Roman" w:hAnsi="Arial" w:cs="Arial"/>
          <w:color w:val="000000"/>
          <w:sz w:val="24"/>
          <w:szCs w:val="24"/>
          <w:lang w:eastAsia="en-GB"/>
        </w:rPr>
        <w:lastRenderedPageBreak/>
        <w:t>to</w:t>
      </w:r>
      <w:r w:rsidR="00B35E88">
        <w:rPr>
          <w:rFonts w:ascii="Arial" w:eastAsia="Times New Roman" w:hAnsi="Arial" w:cs="Arial"/>
          <w:color w:val="000000"/>
          <w:sz w:val="24"/>
          <w:szCs w:val="24"/>
          <w:lang w:eastAsia="en-GB"/>
        </w:rPr>
        <w:t xml:space="preserve"> PSNI</w:t>
      </w:r>
      <w:r>
        <w:rPr>
          <w:rFonts w:ascii="Arial" w:eastAsia="Times New Roman" w:hAnsi="Arial" w:cs="Arial"/>
          <w:color w:val="000000"/>
          <w:sz w:val="24"/>
          <w:szCs w:val="24"/>
          <w:lang w:eastAsia="en-GB"/>
        </w:rPr>
        <w:t xml:space="preserve"> police and civilian staff rules on ethics and to an independent complaints mechanism (through</w:t>
      </w:r>
      <w:r w:rsidR="00B35E88">
        <w:rPr>
          <w:rFonts w:ascii="Arial" w:eastAsia="Times New Roman" w:hAnsi="Arial" w:cs="Arial"/>
          <w:color w:val="000000"/>
          <w:sz w:val="24"/>
          <w:szCs w:val="24"/>
          <w:lang w:eastAsia="en-GB"/>
        </w:rPr>
        <w:t xml:space="preserve"> the office of</w:t>
      </w:r>
      <w:r>
        <w:rPr>
          <w:rFonts w:ascii="Arial" w:eastAsia="Times New Roman" w:hAnsi="Arial" w:cs="Arial"/>
          <w:color w:val="000000"/>
          <w:sz w:val="24"/>
          <w:szCs w:val="24"/>
          <w:lang w:eastAsia="en-GB"/>
        </w:rPr>
        <w:t xml:space="preserve"> PONI).</w:t>
      </w:r>
    </w:p>
    <w:p w14:paraId="0E4C8E0E" w14:textId="77777777" w:rsidR="0006291A" w:rsidRDefault="0006291A" w:rsidP="003056EF">
      <w:pPr>
        <w:widowControl/>
        <w:spacing w:after="120"/>
        <w:ind w:right="680"/>
        <w:contextualSpacing/>
        <w:jc w:val="both"/>
        <w:rPr>
          <w:rFonts w:ascii="Arial" w:eastAsia="Times New Roman" w:hAnsi="Arial" w:cs="Arial"/>
          <w:color w:val="000000"/>
          <w:sz w:val="24"/>
          <w:szCs w:val="24"/>
          <w:lang w:eastAsia="en-GB"/>
        </w:rPr>
      </w:pPr>
    </w:p>
    <w:p w14:paraId="54B0297B"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332E8DBD" w14:textId="29F26F9A" w:rsidR="00744176" w:rsidRPr="0006291A" w:rsidRDefault="00744176" w:rsidP="0006291A">
      <w:pPr>
        <w:widowControl/>
        <w:spacing w:after="120"/>
        <w:ind w:left="-340" w:right="680"/>
        <w:contextualSpacing/>
        <w:jc w:val="both"/>
        <w:rPr>
          <w:rFonts w:ascii="Arial" w:eastAsia="Times New Roman" w:hAnsi="Arial" w:cs="Arial"/>
          <w:color w:val="000000"/>
          <w:sz w:val="24"/>
          <w:szCs w:val="24"/>
          <w:u w:val="single"/>
          <w:lang w:eastAsia="en-GB"/>
        </w:rPr>
      </w:pPr>
      <w:r w:rsidRPr="0006291A">
        <w:rPr>
          <w:rFonts w:ascii="Arial" w:eastAsia="Times New Roman" w:hAnsi="Arial" w:cs="Arial"/>
          <w:i/>
          <w:iCs/>
          <w:sz w:val="24"/>
          <w:szCs w:val="24"/>
          <w:u w:val="single"/>
          <w:lang w:eastAsia="en-GB"/>
        </w:rPr>
        <w:t>The differences between the Government’s new proposals and the draft Stormont House Agreement Bill;</w:t>
      </w:r>
    </w:p>
    <w:p w14:paraId="2F02C487" w14:textId="3E28AADC" w:rsidR="00166515" w:rsidRPr="00EE4670" w:rsidRDefault="00166515" w:rsidP="00166515">
      <w:pPr>
        <w:widowControl/>
        <w:spacing w:after="120"/>
        <w:ind w:left="-340" w:right="680"/>
        <w:contextualSpacing/>
        <w:jc w:val="both"/>
        <w:rPr>
          <w:rFonts w:ascii="Arial" w:eastAsia="Times New Roman" w:hAnsi="Arial" w:cs="Arial"/>
          <w:sz w:val="24"/>
          <w:szCs w:val="24"/>
          <w:lang w:eastAsia="en-GB"/>
        </w:rPr>
      </w:pPr>
    </w:p>
    <w:p w14:paraId="392F9BA1" w14:textId="5A2F8255" w:rsidR="00EE4670" w:rsidRDefault="00EE4670"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revised proposals appear to acknowledge more realistically what might be achieved in the aftermath of a significant </w:t>
      </w:r>
      <w:r w:rsidR="00C3544E">
        <w:rPr>
          <w:rFonts w:ascii="Arial" w:eastAsia="Times New Roman" w:hAnsi="Arial" w:cs="Arial"/>
          <w:color w:val="000000"/>
          <w:sz w:val="24"/>
          <w:szCs w:val="24"/>
          <w:lang w:eastAsia="en-GB"/>
        </w:rPr>
        <w:t xml:space="preserve">and prolonged </w:t>
      </w:r>
      <w:r>
        <w:rPr>
          <w:rFonts w:ascii="Arial" w:eastAsia="Times New Roman" w:hAnsi="Arial" w:cs="Arial"/>
          <w:color w:val="000000"/>
          <w:sz w:val="24"/>
          <w:szCs w:val="24"/>
          <w:lang w:eastAsia="en-GB"/>
        </w:rPr>
        <w:t>terrorist campaign (or ‘armed conflict’) and after such a long passage of time by a process which relies so heavily on the criminal justice system as the primary means by which to address the needs of victims.</w:t>
      </w:r>
    </w:p>
    <w:p w14:paraId="593DF5BB" w14:textId="3908E86B" w:rsidR="00EE4670" w:rsidRDefault="00EE4670" w:rsidP="00166515">
      <w:pPr>
        <w:widowControl/>
        <w:spacing w:after="120"/>
        <w:ind w:left="-340" w:right="680"/>
        <w:contextualSpacing/>
        <w:jc w:val="both"/>
        <w:rPr>
          <w:rFonts w:ascii="Arial" w:eastAsia="Times New Roman" w:hAnsi="Arial" w:cs="Arial"/>
          <w:color w:val="000000"/>
          <w:sz w:val="24"/>
          <w:szCs w:val="24"/>
          <w:lang w:eastAsia="en-GB"/>
        </w:rPr>
      </w:pPr>
    </w:p>
    <w:p w14:paraId="4E7DE929" w14:textId="05799854" w:rsidR="00641124" w:rsidRDefault="00EE4670"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proposals offer a switch in emphasis to information recovery, while preserving access to an investigatory process in cert</w:t>
      </w:r>
      <w:r w:rsidR="00424C6D">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in specified</w:t>
      </w:r>
      <w:r w:rsidR="00424C6D">
        <w:rPr>
          <w:rFonts w:ascii="Arial" w:eastAsia="Times New Roman" w:hAnsi="Arial" w:cs="Arial"/>
          <w:color w:val="000000"/>
          <w:sz w:val="24"/>
          <w:szCs w:val="24"/>
          <w:lang w:eastAsia="en-GB"/>
        </w:rPr>
        <w:t xml:space="preserve"> circumstances. The criteria (for those who seek a new investigation) must make sense</w:t>
      </w:r>
      <w:r w:rsidR="000C4960">
        <w:rPr>
          <w:rFonts w:ascii="Arial" w:eastAsia="Times New Roman" w:hAnsi="Arial" w:cs="Arial"/>
          <w:color w:val="000000"/>
          <w:sz w:val="24"/>
          <w:szCs w:val="24"/>
          <w:lang w:eastAsia="en-GB"/>
        </w:rPr>
        <w:t xml:space="preserve"> -</w:t>
      </w:r>
      <w:r w:rsidR="00424C6D">
        <w:rPr>
          <w:rFonts w:ascii="Arial" w:eastAsia="Times New Roman" w:hAnsi="Arial" w:cs="Arial"/>
          <w:color w:val="000000"/>
          <w:sz w:val="24"/>
          <w:szCs w:val="24"/>
          <w:lang w:eastAsia="en-GB"/>
        </w:rPr>
        <w:t xml:space="preserve"> the supposed availability of significant fresh</w:t>
      </w:r>
      <w:r w:rsidR="000C4960">
        <w:rPr>
          <w:rFonts w:ascii="Arial" w:eastAsia="Times New Roman" w:hAnsi="Arial" w:cs="Arial"/>
          <w:color w:val="000000"/>
          <w:sz w:val="24"/>
          <w:szCs w:val="24"/>
          <w:lang w:eastAsia="en-GB"/>
        </w:rPr>
        <w:t xml:space="preserve"> and compelling</w:t>
      </w:r>
      <w:r w:rsidR="00424C6D">
        <w:rPr>
          <w:rFonts w:ascii="Arial" w:eastAsia="Times New Roman" w:hAnsi="Arial" w:cs="Arial"/>
          <w:color w:val="000000"/>
          <w:sz w:val="24"/>
          <w:szCs w:val="24"/>
          <w:lang w:eastAsia="en-GB"/>
        </w:rPr>
        <w:t xml:space="preserve"> evidence which holds the reasonable prospect of an eventual successful prosecutorial outcome. Whilst there are unlikely to be many such cases, it is agreed that developments in investigative techniques (in particular in terms of forensic science) may help. It is even conceivable that a witness who was previously unknown or who was reluctant to give evidence may be found or </w:t>
      </w:r>
      <w:r w:rsidR="0018791B">
        <w:rPr>
          <w:rFonts w:ascii="Arial" w:eastAsia="Times New Roman" w:hAnsi="Arial" w:cs="Arial"/>
          <w:color w:val="000000"/>
          <w:sz w:val="24"/>
          <w:szCs w:val="24"/>
          <w:lang w:eastAsia="en-GB"/>
        </w:rPr>
        <w:t xml:space="preserve">may </w:t>
      </w:r>
      <w:r w:rsidR="00424C6D">
        <w:rPr>
          <w:rFonts w:ascii="Arial" w:eastAsia="Times New Roman" w:hAnsi="Arial" w:cs="Arial"/>
          <w:color w:val="000000"/>
          <w:sz w:val="24"/>
          <w:szCs w:val="24"/>
          <w:lang w:eastAsia="en-GB"/>
        </w:rPr>
        <w:t xml:space="preserve">come forward. It is also accepted that some investigations were not carried out to the standards which </w:t>
      </w:r>
      <w:r w:rsidR="007409ED">
        <w:rPr>
          <w:rFonts w:ascii="Arial" w:eastAsia="Times New Roman" w:hAnsi="Arial" w:cs="Arial"/>
          <w:color w:val="000000"/>
          <w:sz w:val="24"/>
          <w:szCs w:val="24"/>
          <w:lang w:eastAsia="en-GB"/>
        </w:rPr>
        <w:t>would</w:t>
      </w:r>
      <w:r w:rsidR="00424C6D">
        <w:rPr>
          <w:rFonts w:ascii="Arial" w:eastAsia="Times New Roman" w:hAnsi="Arial" w:cs="Arial"/>
          <w:color w:val="000000"/>
          <w:sz w:val="24"/>
          <w:szCs w:val="24"/>
          <w:lang w:eastAsia="en-GB"/>
        </w:rPr>
        <w:t xml:space="preserve"> be </w:t>
      </w:r>
      <w:r w:rsidR="007409ED">
        <w:rPr>
          <w:rFonts w:ascii="Arial" w:eastAsia="Times New Roman" w:hAnsi="Arial" w:cs="Arial"/>
          <w:color w:val="000000"/>
          <w:sz w:val="24"/>
          <w:szCs w:val="24"/>
          <w:lang w:eastAsia="en-GB"/>
        </w:rPr>
        <w:t>expec</w:t>
      </w:r>
      <w:r w:rsidR="00424C6D">
        <w:rPr>
          <w:rFonts w:ascii="Arial" w:eastAsia="Times New Roman" w:hAnsi="Arial" w:cs="Arial"/>
          <w:color w:val="000000"/>
          <w:sz w:val="24"/>
          <w:szCs w:val="24"/>
          <w:lang w:eastAsia="en-GB"/>
        </w:rPr>
        <w:t>ted today, due to the restrictions on the activities of police and civilian support staff</w:t>
      </w:r>
      <w:r w:rsidR="00292CF8">
        <w:rPr>
          <w:rFonts w:ascii="Arial" w:eastAsia="Times New Roman" w:hAnsi="Arial" w:cs="Arial"/>
          <w:color w:val="000000"/>
          <w:sz w:val="24"/>
          <w:szCs w:val="24"/>
          <w:lang w:eastAsia="en-GB"/>
        </w:rPr>
        <w:t xml:space="preserve"> </w:t>
      </w:r>
      <w:r w:rsidR="00292CF8" w:rsidRPr="006A2381">
        <w:rPr>
          <w:rFonts w:ascii="Arial" w:eastAsia="Times New Roman" w:hAnsi="Arial" w:cs="Arial"/>
          <w:color w:val="000000"/>
          <w:sz w:val="24"/>
          <w:szCs w:val="24"/>
          <w:lang w:eastAsia="en-GB"/>
        </w:rPr>
        <w:t>(particularly at crime scenes)</w:t>
      </w:r>
      <w:r w:rsidR="00424C6D">
        <w:rPr>
          <w:rFonts w:ascii="Arial" w:eastAsia="Times New Roman" w:hAnsi="Arial" w:cs="Arial"/>
          <w:color w:val="000000"/>
          <w:sz w:val="24"/>
          <w:szCs w:val="24"/>
          <w:lang w:eastAsia="en-GB"/>
        </w:rPr>
        <w:t xml:space="preserve"> which were imposed by the prevailing security conditions: but </w:t>
      </w:r>
      <w:r w:rsidR="0018791B">
        <w:rPr>
          <w:rFonts w:ascii="Arial" w:eastAsia="Times New Roman" w:hAnsi="Arial" w:cs="Arial"/>
          <w:color w:val="000000"/>
          <w:sz w:val="24"/>
          <w:szCs w:val="24"/>
          <w:lang w:eastAsia="en-GB"/>
        </w:rPr>
        <w:t xml:space="preserve">in the vast majority of cases </w:t>
      </w:r>
      <w:r w:rsidR="00424C6D">
        <w:rPr>
          <w:rFonts w:ascii="Arial" w:eastAsia="Times New Roman" w:hAnsi="Arial" w:cs="Arial"/>
          <w:color w:val="000000"/>
          <w:sz w:val="24"/>
          <w:szCs w:val="24"/>
          <w:lang w:eastAsia="en-GB"/>
        </w:rPr>
        <w:t xml:space="preserve">it is </w:t>
      </w:r>
      <w:r w:rsidR="0018791B">
        <w:rPr>
          <w:rFonts w:ascii="Arial" w:eastAsia="Times New Roman" w:hAnsi="Arial" w:cs="Arial"/>
          <w:color w:val="000000"/>
          <w:sz w:val="24"/>
          <w:szCs w:val="24"/>
          <w:lang w:eastAsia="en-GB"/>
        </w:rPr>
        <w:t xml:space="preserve">very </w:t>
      </w:r>
      <w:r w:rsidR="00424C6D">
        <w:rPr>
          <w:rFonts w:ascii="Arial" w:eastAsia="Times New Roman" w:hAnsi="Arial" w:cs="Arial"/>
          <w:color w:val="000000"/>
          <w:sz w:val="24"/>
          <w:szCs w:val="24"/>
          <w:lang w:eastAsia="en-GB"/>
        </w:rPr>
        <w:t xml:space="preserve">unlikely that </w:t>
      </w:r>
      <w:r w:rsidR="00641124">
        <w:rPr>
          <w:rFonts w:ascii="Arial" w:eastAsia="Times New Roman" w:hAnsi="Arial" w:cs="Arial"/>
          <w:color w:val="000000"/>
          <w:sz w:val="24"/>
          <w:szCs w:val="24"/>
          <w:lang w:eastAsia="en-GB"/>
        </w:rPr>
        <w:t xml:space="preserve">a new investigation after several decades will produce a better outcome in the absence of </w:t>
      </w:r>
      <w:r w:rsidR="0018791B">
        <w:rPr>
          <w:rFonts w:ascii="Arial" w:eastAsia="Times New Roman" w:hAnsi="Arial" w:cs="Arial"/>
          <w:color w:val="000000"/>
          <w:sz w:val="24"/>
          <w:szCs w:val="24"/>
          <w:lang w:eastAsia="en-GB"/>
        </w:rPr>
        <w:t xml:space="preserve">genuine and significant </w:t>
      </w:r>
      <w:r w:rsidR="00641124">
        <w:rPr>
          <w:rFonts w:ascii="Arial" w:eastAsia="Times New Roman" w:hAnsi="Arial" w:cs="Arial"/>
          <w:color w:val="000000"/>
          <w:sz w:val="24"/>
          <w:szCs w:val="24"/>
          <w:lang w:eastAsia="en-GB"/>
        </w:rPr>
        <w:t>new developments.</w:t>
      </w:r>
    </w:p>
    <w:p w14:paraId="31B7FD0B" w14:textId="77777777" w:rsidR="00641124" w:rsidRDefault="00641124" w:rsidP="00166515">
      <w:pPr>
        <w:widowControl/>
        <w:spacing w:after="120"/>
        <w:ind w:left="-340" w:right="680"/>
        <w:contextualSpacing/>
        <w:jc w:val="both"/>
        <w:rPr>
          <w:rFonts w:ascii="Arial" w:eastAsia="Times New Roman" w:hAnsi="Arial" w:cs="Arial"/>
          <w:color w:val="000000"/>
          <w:sz w:val="24"/>
          <w:szCs w:val="24"/>
          <w:lang w:eastAsia="en-GB"/>
        </w:rPr>
      </w:pPr>
    </w:p>
    <w:p w14:paraId="32354B39" w14:textId="77777777" w:rsidR="002E106A" w:rsidRDefault="00641124"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new proposals differ from the SHA Bill, and significantly improve upon it, in that they do not appear to seek to perpetuate the ritual by which</w:t>
      </w:r>
      <w:r w:rsidR="002B7746">
        <w:rPr>
          <w:rFonts w:ascii="Arial" w:eastAsia="Times New Roman" w:hAnsi="Arial" w:cs="Arial"/>
          <w:color w:val="000000"/>
          <w:sz w:val="24"/>
          <w:szCs w:val="24"/>
          <w:lang w:eastAsia="en-GB"/>
        </w:rPr>
        <w:t xml:space="preserve"> </w:t>
      </w:r>
      <w:r w:rsidR="002B7746" w:rsidRPr="006A2381">
        <w:rPr>
          <w:rFonts w:ascii="Arial" w:eastAsia="Times New Roman" w:hAnsi="Arial" w:cs="Arial"/>
          <w:color w:val="000000"/>
          <w:sz w:val="24"/>
          <w:szCs w:val="24"/>
          <w:lang w:eastAsia="en-GB"/>
        </w:rPr>
        <w:t xml:space="preserve">it was possible to generate an investigation </w:t>
      </w:r>
      <w:r w:rsidR="002E106A" w:rsidRPr="006A2381">
        <w:rPr>
          <w:rFonts w:ascii="Arial" w:eastAsia="Times New Roman" w:hAnsi="Arial" w:cs="Arial"/>
          <w:color w:val="000000"/>
          <w:sz w:val="24"/>
          <w:szCs w:val="24"/>
          <w:lang w:eastAsia="en-GB"/>
        </w:rPr>
        <w:t xml:space="preserve">or re-investigation </w:t>
      </w:r>
      <w:r w:rsidR="002B7746" w:rsidRPr="006A2381">
        <w:rPr>
          <w:rFonts w:ascii="Arial" w:eastAsia="Times New Roman" w:hAnsi="Arial" w:cs="Arial"/>
          <w:color w:val="000000"/>
          <w:sz w:val="24"/>
          <w:szCs w:val="24"/>
          <w:lang w:eastAsia="en-GB"/>
        </w:rPr>
        <w:t>on the basis of</w:t>
      </w:r>
      <w:r w:rsidRPr="006A2381">
        <w:rPr>
          <w:rFonts w:ascii="Arial" w:eastAsia="Times New Roman" w:hAnsi="Arial" w:cs="Arial"/>
          <w:color w:val="000000"/>
          <w:sz w:val="24"/>
          <w:szCs w:val="24"/>
          <w:lang w:eastAsia="en-GB"/>
        </w:rPr>
        <w:t xml:space="preserve"> a vague and unsubstantiated claim </w:t>
      </w:r>
      <w:r w:rsidR="002B7746" w:rsidRPr="006A2381">
        <w:rPr>
          <w:rFonts w:ascii="Arial" w:eastAsia="Times New Roman" w:hAnsi="Arial" w:cs="Arial"/>
          <w:color w:val="000000"/>
          <w:sz w:val="24"/>
          <w:szCs w:val="24"/>
          <w:lang w:eastAsia="en-GB"/>
        </w:rPr>
        <w:t>that someone</w:t>
      </w:r>
      <w:r w:rsidRPr="006A2381">
        <w:rPr>
          <w:rFonts w:ascii="Arial" w:eastAsia="Times New Roman" w:hAnsi="Arial" w:cs="Arial"/>
          <w:color w:val="000000"/>
          <w:sz w:val="24"/>
          <w:szCs w:val="24"/>
          <w:lang w:eastAsia="en-GB"/>
        </w:rPr>
        <w:t xml:space="preserve"> ‘believe</w:t>
      </w:r>
      <w:r w:rsidR="002B7746" w:rsidRPr="006A2381">
        <w:rPr>
          <w:rFonts w:ascii="Arial" w:eastAsia="Times New Roman" w:hAnsi="Arial" w:cs="Arial"/>
          <w:color w:val="000000"/>
          <w:sz w:val="24"/>
          <w:szCs w:val="24"/>
          <w:lang w:eastAsia="en-GB"/>
        </w:rPr>
        <w:t>d</w:t>
      </w:r>
      <w:r w:rsidRPr="006A2381">
        <w:rPr>
          <w:rFonts w:ascii="Arial" w:eastAsia="Times New Roman" w:hAnsi="Arial" w:cs="Arial"/>
          <w:color w:val="000000"/>
          <w:sz w:val="24"/>
          <w:szCs w:val="24"/>
          <w:lang w:eastAsia="en-GB"/>
        </w:rPr>
        <w:t xml:space="preserve">’ that there </w:t>
      </w:r>
      <w:r w:rsidR="002B7746" w:rsidRPr="006A2381">
        <w:rPr>
          <w:rFonts w:ascii="Arial" w:eastAsia="Times New Roman" w:hAnsi="Arial" w:cs="Arial"/>
          <w:color w:val="000000"/>
          <w:sz w:val="24"/>
          <w:szCs w:val="24"/>
          <w:lang w:eastAsia="en-GB"/>
        </w:rPr>
        <w:t xml:space="preserve">had been </w:t>
      </w:r>
      <w:r w:rsidRPr="006A2381">
        <w:rPr>
          <w:rFonts w:ascii="Arial" w:eastAsia="Times New Roman" w:hAnsi="Arial" w:cs="Arial"/>
          <w:color w:val="000000"/>
          <w:sz w:val="24"/>
          <w:szCs w:val="24"/>
          <w:lang w:eastAsia="en-GB"/>
        </w:rPr>
        <w:t>some unspecified</w:t>
      </w:r>
      <w:r>
        <w:rPr>
          <w:rFonts w:ascii="Arial" w:eastAsia="Times New Roman" w:hAnsi="Arial" w:cs="Arial"/>
          <w:color w:val="000000"/>
          <w:sz w:val="24"/>
          <w:szCs w:val="24"/>
          <w:lang w:eastAsia="en-GB"/>
        </w:rPr>
        <w:t xml:space="preserve"> ‘misconduct’ on the part of some unidentified member of the security forces which has not (yet) been adequately investigated. Often the ‘inadequacy’ of the investigation merely meant that it had not produced the desired outcome</w:t>
      </w:r>
      <w:r w:rsidR="00334505">
        <w:rPr>
          <w:rFonts w:ascii="Arial" w:eastAsia="Times New Roman" w:hAnsi="Arial" w:cs="Arial"/>
          <w:color w:val="000000"/>
          <w:sz w:val="24"/>
          <w:szCs w:val="24"/>
          <w:lang w:eastAsia="en-GB"/>
        </w:rPr>
        <w:t xml:space="preserve"> from their point of view</w:t>
      </w:r>
      <w:r>
        <w:rPr>
          <w:rFonts w:ascii="Arial" w:eastAsia="Times New Roman" w:hAnsi="Arial" w:cs="Arial"/>
          <w:color w:val="000000"/>
          <w:sz w:val="24"/>
          <w:szCs w:val="24"/>
          <w:lang w:eastAsia="en-GB"/>
        </w:rPr>
        <w:t>.</w:t>
      </w:r>
    </w:p>
    <w:p w14:paraId="57C80599" w14:textId="77777777" w:rsidR="002E106A" w:rsidRDefault="002E106A" w:rsidP="00166515">
      <w:pPr>
        <w:widowControl/>
        <w:spacing w:after="120"/>
        <w:ind w:left="-340" w:right="680"/>
        <w:contextualSpacing/>
        <w:jc w:val="both"/>
        <w:rPr>
          <w:rFonts w:ascii="Arial" w:eastAsia="Times New Roman" w:hAnsi="Arial" w:cs="Arial"/>
          <w:color w:val="000000"/>
          <w:sz w:val="24"/>
          <w:szCs w:val="24"/>
          <w:lang w:eastAsia="en-GB"/>
        </w:rPr>
      </w:pPr>
    </w:p>
    <w:p w14:paraId="25C9106A" w14:textId="450D72F5" w:rsidR="00EE4670" w:rsidRDefault="00FF189E"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purpose of such allegations was never to identify and produce a potential case against criminals but rather (i) to denigrate </w:t>
      </w:r>
      <w:r w:rsidR="00A43735">
        <w:rPr>
          <w:rFonts w:ascii="Arial" w:eastAsia="Times New Roman" w:hAnsi="Arial" w:cs="Arial"/>
          <w:color w:val="000000"/>
          <w:sz w:val="24"/>
          <w:szCs w:val="24"/>
          <w:lang w:eastAsia="en-GB"/>
        </w:rPr>
        <w:t xml:space="preserve">individual members of </w:t>
      </w:r>
      <w:r>
        <w:rPr>
          <w:rFonts w:ascii="Arial" w:eastAsia="Times New Roman" w:hAnsi="Arial" w:cs="Arial"/>
          <w:color w:val="000000"/>
          <w:sz w:val="24"/>
          <w:szCs w:val="24"/>
          <w:lang w:eastAsia="en-GB"/>
        </w:rPr>
        <w:t>the security forces</w:t>
      </w:r>
      <w:r w:rsidR="00A43735">
        <w:rPr>
          <w:rFonts w:ascii="Arial" w:eastAsia="Times New Roman" w:hAnsi="Arial" w:cs="Arial"/>
          <w:color w:val="000000"/>
          <w:sz w:val="24"/>
          <w:szCs w:val="24"/>
          <w:lang w:eastAsia="en-GB"/>
        </w:rPr>
        <w:t>; (ii)</w:t>
      </w:r>
      <w:r>
        <w:rPr>
          <w:rFonts w:ascii="Arial" w:eastAsia="Times New Roman" w:hAnsi="Arial" w:cs="Arial"/>
          <w:color w:val="000000"/>
          <w:sz w:val="24"/>
          <w:szCs w:val="24"/>
          <w:lang w:eastAsia="en-GB"/>
        </w:rPr>
        <w:t xml:space="preserve"> </w:t>
      </w:r>
      <w:r w:rsidR="00AC1B2B">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 xml:space="preserve">seek to perpetuate the myth of </w:t>
      </w:r>
      <w:r w:rsidR="006A2381">
        <w:rPr>
          <w:rFonts w:ascii="Arial" w:eastAsia="Times New Roman" w:hAnsi="Arial" w:cs="Arial"/>
          <w:color w:val="000000"/>
          <w:sz w:val="24"/>
          <w:szCs w:val="24"/>
          <w:lang w:eastAsia="en-GB"/>
        </w:rPr>
        <w:t xml:space="preserve">security force </w:t>
      </w:r>
      <w:r w:rsidR="00AC1B2B">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collusion</w:t>
      </w:r>
      <w:r w:rsidR="00AC1B2B">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(ii</w:t>
      </w:r>
      <w:r w:rsidR="00A43735">
        <w:rPr>
          <w:rFonts w:ascii="Arial" w:eastAsia="Times New Roman" w:hAnsi="Arial" w:cs="Arial"/>
          <w:color w:val="000000"/>
          <w:sz w:val="24"/>
          <w:szCs w:val="24"/>
          <w:lang w:eastAsia="en-GB"/>
        </w:rPr>
        <w:t>i</w:t>
      </w:r>
      <w:r>
        <w:rPr>
          <w:rFonts w:ascii="Arial" w:eastAsia="Times New Roman" w:hAnsi="Arial" w:cs="Arial"/>
          <w:color w:val="000000"/>
          <w:sz w:val="24"/>
          <w:szCs w:val="24"/>
          <w:lang w:eastAsia="en-GB"/>
        </w:rPr>
        <w:t>) to prepare the ground for a claim and civil action; (i</w:t>
      </w:r>
      <w:r w:rsidR="00A43735">
        <w:rPr>
          <w:rFonts w:ascii="Arial" w:eastAsia="Times New Roman" w:hAnsi="Arial" w:cs="Arial"/>
          <w:color w:val="000000"/>
          <w:sz w:val="24"/>
          <w:szCs w:val="24"/>
          <w:lang w:eastAsia="en-GB"/>
        </w:rPr>
        <w:t>v</w:t>
      </w:r>
      <w:r>
        <w:rPr>
          <w:rFonts w:ascii="Arial" w:eastAsia="Times New Roman" w:hAnsi="Arial" w:cs="Arial"/>
          <w:color w:val="000000"/>
          <w:sz w:val="24"/>
          <w:szCs w:val="24"/>
          <w:lang w:eastAsia="en-GB"/>
        </w:rPr>
        <w:t>) to expose and compromise secret security force methodology; (v) to tie up investigative resources which might be better deployed against the current activities of the criminal ga</w:t>
      </w:r>
      <w:r w:rsidR="00025237">
        <w:rPr>
          <w:rFonts w:ascii="Arial" w:eastAsia="Times New Roman" w:hAnsi="Arial" w:cs="Arial"/>
          <w:color w:val="000000"/>
          <w:sz w:val="24"/>
          <w:szCs w:val="24"/>
          <w:lang w:eastAsia="en-GB"/>
        </w:rPr>
        <w:t>n</w:t>
      </w:r>
      <w:r>
        <w:rPr>
          <w:rFonts w:ascii="Arial" w:eastAsia="Times New Roman" w:hAnsi="Arial" w:cs="Arial"/>
          <w:color w:val="000000"/>
          <w:sz w:val="24"/>
          <w:szCs w:val="24"/>
          <w:lang w:eastAsia="en-GB"/>
        </w:rPr>
        <w:t>gs</w:t>
      </w:r>
      <w:r w:rsidR="00AC1B2B">
        <w:rPr>
          <w:rFonts w:ascii="Arial" w:eastAsia="Times New Roman" w:hAnsi="Arial" w:cs="Arial"/>
          <w:color w:val="000000"/>
          <w:sz w:val="24"/>
          <w:szCs w:val="24"/>
          <w:lang w:eastAsia="en-GB"/>
        </w:rPr>
        <w:t xml:space="preserve">; </w:t>
      </w:r>
      <w:r w:rsidR="0018791B">
        <w:rPr>
          <w:rFonts w:ascii="Arial" w:eastAsia="Times New Roman" w:hAnsi="Arial" w:cs="Arial"/>
          <w:color w:val="000000"/>
          <w:sz w:val="24"/>
          <w:szCs w:val="24"/>
          <w:lang w:eastAsia="en-GB"/>
        </w:rPr>
        <w:t>(v</w:t>
      </w:r>
      <w:r w:rsidR="00A43735">
        <w:rPr>
          <w:rFonts w:ascii="Arial" w:eastAsia="Times New Roman" w:hAnsi="Arial" w:cs="Arial"/>
          <w:color w:val="000000"/>
          <w:sz w:val="24"/>
          <w:szCs w:val="24"/>
          <w:lang w:eastAsia="en-GB"/>
        </w:rPr>
        <w:t>i</w:t>
      </w:r>
      <w:r w:rsidR="0018791B">
        <w:rPr>
          <w:rFonts w:ascii="Arial" w:eastAsia="Times New Roman" w:hAnsi="Arial" w:cs="Arial"/>
          <w:color w:val="000000"/>
          <w:sz w:val="24"/>
          <w:szCs w:val="24"/>
          <w:lang w:eastAsia="en-GB"/>
        </w:rPr>
        <w:t xml:space="preserve">) </w:t>
      </w:r>
      <w:r w:rsidR="002E106A" w:rsidRPr="00AA3197">
        <w:rPr>
          <w:rFonts w:ascii="Arial" w:eastAsia="Times New Roman" w:hAnsi="Arial" w:cs="Arial"/>
          <w:color w:val="000000"/>
          <w:sz w:val="24"/>
          <w:szCs w:val="24"/>
          <w:lang w:eastAsia="en-GB"/>
        </w:rPr>
        <w:t xml:space="preserve">in the eyes of many, </w:t>
      </w:r>
      <w:r w:rsidR="0018791B" w:rsidRPr="00AA3197">
        <w:rPr>
          <w:rFonts w:ascii="Arial" w:eastAsia="Times New Roman" w:hAnsi="Arial" w:cs="Arial"/>
          <w:color w:val="000000"/>
          <w:sz w:val="24"/>
          <w:szCs w:val="24"/>
          <w:lang w:eastAsia="en-GB"/>
        </w:rPr>
        <w:t>to</w:t>
      </w:r>
      <w:r w:rsidR="0018791B">
        <w:rPr>
          <w:rFonts w:ascii="Arial" w:eastAsia="Times New Roman" w:hAnsi="Arial" w:cs="Arial"/>
          <w:color w:val="000000"/>
          <w:sz w:val="24"/>
          <w:szCs w:val="24"/>
          <w:lang w:eastAsia="en-GB"/>
        </w:rPr>
        <w:t xml:space="preserve"> generate income for local favoured legal practices through the legal aid system (</w:t>
      </w:r>
      <w:r w:rsidR="00334505">
        <w:rPr>
          <w:rFonts w:ascii="Arial" w:eastAsia="Times New Roman" w:hAnsi="Arial" w:cs="Arial"/>
          <w:color w:val="000000"/>
          <w:sz w:val="24"/>
          <w:szCs w:val="24"/>
          <w:lang w:eastAsia="en-GB"/>
        </w:rPr>
        <w:t xml:space="preserve">the amount of </w:t>
      </w:r>
      <w:r w:rsidR="0018791B">
        <w:rPr>
          <w:rFonts w:ascii="Arial" w:eastAsia="Times New Roman" w:hAnsi="Arial" w:cs="Arial"/>
          <w:color w:val="000000"/>
          <w:sz w:val="24"/>
          <w:szCs w:val="24"/>
          <w:lang w:eastAsia="en-GB"/>
        </w:rPr>
        <w:t xml:space="preserve">which cannot be disclosed to the tax-paying public for supposed ‘security’ reasons); </w:t>
      </w:r>
      <w:r w:rsidR="00AC1B2B">
        <w:rPr>
          <w:rFonts w:ascii="Arial" w:eastAsia="Times New Roman" w:hAnsi="Arial" w:cs="Arial"/>
          <w:color w:val="000000"/>
          <w:sz w:val="24"/>
          <w:szCs w:val="24"/>
          <w:lang w:eastAsia="en-GB"/>
        </w:rPr>
        <w:t>and (v</w:t>
      </w:r>
      <w:r w:rsidR="0018791B">
        <w:rPr>
          <w:rFonts w:ascii="Arial" w:eastAsia="Times New Roman" w:hAnsi="Arial" w:cs="Arial"/>
          <w:color w:val="000000"/>
          <w:sz w:val="24"/>
          <w:szCs w:val="24"/>
          <w:lang w:eastAsia="en-GB"/>
        </w:rPr>
        <w:t>i</w:t>
      </w:r>
      <w:r w:rsidR="00A43735">
        <w:rPr>
          <w:rFonts w:ascii="Arial" w:eastAsia="Times New Roman" w:hAnsi="Arial" w:cs="Arial"/>
          <w:color w:val="000000"/>
          <w:sz w:val="24"/>
          <w:szCs w:val="24"/>
          <w:lang w:eastAsia="en-GB"/>
        </w:rPr>
        <w:t>i</w:t>
      </w:r>
      <w:r w:rsidR="00AC1B2B">
        <w:rPr>
          <w:rFonts w:ascii="Arial" w:eastAsia="Times New Roman" w:hAnsi="Arial" w:cs="Arial"/>
          <w:color w:val="000000"/>
          <w:sz w:val="24"/>
          <w:szCs w:val="24"/>
          <w:lang w:eastAsia="en-GB"/>
        </w:rPr>
        <w:t>) to undermine the morale of serving and retired members of the security forces</w:t>
      </w:r>
      <w:r>
        <w:rPr>
          <w:rFonts w:ascii="Arial" w:eastAsia="Times New Roman" w:hAnsi="Arial" w:cs="Arial"/>
          <w:color w:val="000000"/>
          <w:sz w:val="24"/>
          <w:szCs w:val="24"/>
          <w:lang w:eastAsia="en-GB"/>
        </w:rPr>
        <w:t>.</w:t>
      </w:r>
      <w:r w:rsidR="002B7746">
        <w:rPr>
          <w:rFonts w:ascii="Arial" w:eastAsia="Times New Roman" w:hAnsi="Arial" w:cs="Arial"/>
          <w:color w:val="000000"/>
          <w:sz w:val="24"/>
          <w:szCs w:val="24"/>
          <w:lang w:eastAsia="en-GB"/>
        </w:rPr>
        <w:t xml:space="preserve"> </w:t>
      </w:r>
      <w:r w:rsidR="002B7746" w:rsidRPr="00AA3197">
        <w:rPr>
          <w:rFonts w:ascii="Arial" w:eastAsia="Times New Roman" w:hAnsi="Arial" w:cs="Arial"/>
          <w:color w:val="000000"/>
          <w:sz w:val="24"/>
          <w:szCs w:val="24"/>
          <w:lang w:eastAsia="en-GB"/>
        </w:rPr>
        <w:t xml:space="preserve">Material which was generated by such ‘investigations’ could be exploited </w:t>
      </w:r>
      <w:r w:rsidR="002E106A" w:rsidRPr="00AA3197">
        <w:rPr>
          <w:rFonts w:ascii="Arial" w:eastAsia="Times New Roman" w:hAnsi="Arial" w:cs="Arial"/>
          <w:color w:val="000000"/>
          <w:sz w:val="24"/>
          <w:szCs w:val="24"/>
          <w:lang w:eastAsia="en-GB"/>
        </w:rPr>
        <w:t xml:space="preserve">for propaganda purposes </w:t>
      </w:r>
      <w:r w:rsidR="002B7746" w:rsidRPr="00AA3197">
        <w:rPr>
          <w:rFonts w:ascii="Arial" w:eastAsia="Times New Roman" w:hAnsi="Arial" w:cs="Arial"/>
          <w:color w:val="000000"/>
          <w:sz w:val="24"/>
          <w:szCs w:val="24"/>
          <w:lang w:eastAsia="en-GB"/>
        </w:rPr>
        <w:t>without</w:t>
      </w:r>
      <w:r w:rsidR="00D34FCB" w:rsidRPr="00AA3197">
        <w:rPr>
          <w:rFonts w:ascii="Arial" w:eastAsia="Times New Roman" w:hAnsi="Arial" w:cs="Arial"/>
          <w:color w:val="000000"/>
          <w:sz w:val="24"/>
          <w:szCs w:val="24"/>
          <w:lang w:eastAsia="en-GB"/>
        </w:rPr>
        <w:t xml:space="preserve"> any of</w:t>
      </w:r>
      <w:r w:rsidR="002B7746" w:rsidRPr="00AA3197">
        <w:rPr>
          <w:rFonts w:ascii="Arial" w:eastAsia="Times New Roman" w:hAnsi="Arial" w:cs="Arial"/>
          <w:color w:val="000000"/>
          <w:sz w:val="24"/>
          <w:szCs w:val="24"/>
          <w:lang w:eastAsia="en-GB"/>
        </w:rPr>
        <w:t xml:space="preserve"> the constraints</w:t>
      </w:r>
      <w:r w:rsidR="00D34FCB" w:rsidRPr="00AA3197">
        <w:rPr>
          <w:rFonts w:ascii="Arial" w:eastAsia="Times New Roman" w:hAnsi="Arial" w:cs="Arial"/>
          <w:color w:val="000000"/>
          <w:sz w:val="24"/>
          <w:szCs w:val="24"/>
          <w:lang w:eastAsia="en-GB"/>
        </w:rPr>
        <w:t xml:space="preserve"> which are normally imposed by considerations</w:t>
      </w:r>
      <w:r w:rsidR="002B7746" w:rsidRPr="00AA3197">
        <w:rPr>
          <w:rFonts w:ascii="Arial" w:eastAsia="Times New Roman" w:hAnsi="Arial" w:cs="Arial"/>
          <w:color w:val="000000"/>
          <w:sz w:val="24"/>
          <w:szCs w:val="24"/>
          <w:lang w:eastAsia="en-GB"/>
        </w:rPr>
        <w:t xml:space="preserve"> of </w:t>
      </w:r>
      <w:r w:rsidR="00D34FCB" w:rsidRPr="00AA3197">
        <w:rPr>
          <w:rFonts w:ascii="Arial" w:eastAsia="Times New Roman" w:hAnsi="Arial" w:cs="Arial"/>
          <w:color w:val="000000"/>
          <w:sz w:val="24"/>
          <w:szCs w:val="24"/>
          <w:lang w:eastAsia="en-GB"/>
        </w:rPr>
        <w:t>‘</w:t>
      </w:r>
      <w:r w:rsidR="002B7746" w:rsidRPr="00AA3197">
        <w:rPr>
          <w:rFonts w:ascii="Arial" w:eastAsia="Times New Roman" w:hAnsi="Arial" w:cs="Arial"/>
          <w:color w:val="000000"/>
          <w:sz w:val="24"/>
          <w:szCs w:val="24"/>
          <w:lang w:eastAsia="en-GB"/>
        </w:rPr>
        <w:t>due process</w:t>
      </w:r>
      <w:r w:rsidR="00D34FCB" w:rsidRPr="00AA3197">
        <w:rPr>
          <w:rFonts w:ascii="Arial" w:eastAsia="Times New Roman" w:hAnsi="Arial" w:cs="Arial"/>
          <w:color w:val="000000"/>
          <w:sz w:val="24"/>
          <w:szCs w:val="24"/>
          <w:lang w:eastAsia="en-GB"/>
        </w:rPr>
        <w:t>’</w:t>
      </w:r>
      <w:r w:rsidR="002B7746" w:rsidRPr="00AA3197">
        <w:rPr>
          <w:rFonts w:ascii="Arial" w:eastAsia="Times New Roman" w:hAnsi="Arial" w:cs="Arial"/>
          <w:color w:val="000000"/>
          <w:sz w:val="24"/>
          <w:szCs w:val="24"/>
          <w:lang w:eastAsia="en-GB"/>
        </w:rPr>
        <w:t>.</w:t>
      </w:r>
    </w:p>
    <w:p w14:paraId="02280071" w14:textId="53A5A73F" w:rsidR="00AC1B2B" w:rsidRDefault="00AC1B2B" w:rsidP="00166515">
      <w:pPr>
        <w:widowControl/>
        <w:spacing w:after="120"/>
        <w:ind w:left="-340" w:right="680"/>
        <w:contextualSpacing/>
        <w:jc w:val="both"/>
        <w:rPr>
          <w:rFonts w:ascii="Arial" w:eastAsia="Times New Roman" w:hAnsi="Arial" w:cs="Arial"/>
          <w:color w:val="000000"/>
          <w:sz w:val="24"/>
          <w:szCs w:val="24"/>
          <w:lang w:eastAsia="en-GB"/>
        </w:rPr>
      </w:pPr>
    </w:p>
    <w:p w14:paraId="00311878" w14:textId="0B3B2238" w:rsidR="0006291A" w:rsidRDefault="00647CDA" w:rsidP="0006291A">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new proposals are a significant improvement on the 2018 proposals in that, to date, they make no mention of the wholly unacceptable concept of ‘non-criminal police misconduct</w:t>
      </w:r>
      <w:r w:rsidR="00A43735">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Our views on this attempt to pervert all known principles of justice and legal procedure (and indeed ECHR) have been well articulated elsewhere; and we welcome the apparent disappearance of this objectionable, despicable and vindictive attempt to harass retired police officer</w:t>
      </w:r>
      <w:r w:rsidR="00C56708">
        <w:rPr>
          <w:rFonts w:ascii="Arial" w:eastAsia="Times New Roman" w:hAnsi="Arial" w:cs="Arial"/>
          <w:color w:val="000000"/>
          <w:sz w:val="24"/>
          <w:szCs w:val="24"/>
          <w:lang w:eastAsia="en-GB"/>
        </w:rPr>
        <w:t>s</w:t>
      </w:r>
      <w:r w:rsidR="00334505">
        <w:rPr>
          <w:rFonts w:ascii="Arial" w:eastAsia="Times New Roman" w:hAnsi="Arial" w:cs="Arial"/>
          <w:color w:val="000000"/>
          <w:sz w:val="24"/>
          <w:szCs w:val="24"/>
          <w:lang w:eastAsia="en-GB"/>
        </w:rPr>
        <w:t xml:space="preserve"> and besmirch the reputation of the RUCGC</w:t>
      </w:r>
      <w:r w:rsidR="00C56708">
        <w:rPr>
          <w:rFonts w:ascii="Arial" w:eastAsia="Times New Roman" w:hAnsi="Arial" w:cs="Arial"/>
          <w:color w:val="000000"/>
          <w:sz w:val="24"/>
          <w:szCs w:val="24"/>
          <w:lang w:eastAsia="en-GB"/>
        </w:rPr>
        <w:t>.</w:t>
      </w:r>
    </w:p>
    <w:p w14:paraId="517E432F"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180338DA"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7C3834A9" w14:textId="73E44A4C" w:rsidR="00166515" w:rsidRPr="0006291A" w:rsidRDefault="00744176" w:rsidP="0006291A">
      <w:pPr>
        <w:widowControl/>
        <w:spacing w:after="120"/>
        <w:ind w:left="-340" w:right="680"/>
        <w:contextualSpacing/>
        <w:jc w:val="both"/>
        <w:rPr>
          <w:rFonts w:ascii="Arial" w:eastAsia="Times New Roman" w:hAnsi="Arial" w:cs="Arial"/>
          <w:color w:val="000000"/>
          <w:sz w:val="24"/>
          <w:szCs w:val="24"/>
          <w:u w:val="single"/>
          <w:lang w:eastAsia="en-GB"/>
        </w:rPr>
      </w:pPr>
      <w:r w:rsidRPr="0006291A">
        <w:rPr>
          <w:rFonts w:ascii="Arial" w:eastAsia="Times New Roman" w:hAnsi="Arial" w:cs="Arial"/>
          <w:i/>
          <w:iCs/>
          <w:sz w:val="24"/>
          <w:szCs w:val="24"/>
          <w:u w:val="single"/>
          <w:lang w:eastAsia="en-GB"/>
        </w:rPr>
        <w:t>Whether and how the Government’s proposals will promote reconciliation in Northern Ireland</w:t>
      </w:r>
      <w:r w:rsidR="00166515" w:rsidRPr="0006291A">
        <w:rPr>
          <w:rFonts w:ascii="Arial" w:eastAsia="Times New Roman" w:hAnsi="Arial" w:cs="Arial"/>
          <w:i/>
          <w:iCs/>
          <w:sz w:val="24"/>
          <w:szCs w:val="24"/>
          <w:u w:val="single"/>
          <w:lang w:eastAsia="en-GB"/>
        </w:rPr>
        <w:t>;</w:t>
      </w:r>
    </w:p>
    <w:p w14:paraId="2DA0A336" w14:textId="51EDAFB8" w:rsidR="00166515" w:rsidRPr="00C56708" w:rsidRDefault="00166515" w:rsidP="00166515">
      <w:pPr>
        <w:widowControl/>
        <w:spacing w:after="120"/>
        <w:ind w:left="-340" w:right="680"/>
        <w:contextualSpacing/>
        <w:jc w:val="both"/>
        <w:rPr>
          <w:rFonts w:ascii="Arial" w:eastAsia="Times New Roman" w:hAnsi="Arial" w:cs="Arial"/>
          <w:sz w:val="24"/>
          <w:szCs w:val="24"/>
          <w:lang w:eastAsia="en-GB"/>
        </w:rPr>
      </w:pPr>
    </w:p>
    <w:p w14:paraId="7383EA38" w14:textId="6B1F1007" w:rsidR="00366837" w:rsidRDefault="00366837" w:rsidP="00366837">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Whilst it may be the received wisdom that it is one of the functions of government in general and of our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 xml:space="preserve">overnment in particular to promote reconciliation there must be doubt as to the extent to which any government can achieve this objective. It is of course a wholly proper ambition for </w:t>
      </w:r>
      <w:r w:rsidR="00107ADD">
        <w:rPr>
          <w:rFonts w:ascii="Arial" w:eastAsia="Times New Roman" w:hAnsi="Arial" w:cs="Arial"/>
          <w:color w:val="000000"/>
          <w:sz w:val="24"/>
          <w:szCs w:val="24"/>
          <w:lang w:eastAsia="en-GB"/>
        </w:rPr>
        <w:t>the G</w:t>
      </w:r>
      <w:r>
        <w:rPr>
          <w:rFonts w:ascii="Arial" w:eastAsia="Times New Roman" w:hAnsi="Arial" w:cs="Arial"/>
          <w:color w:val="000000"/>
          <w:sz w:val="24"/>
          <w:szCs w:val="24"/>
          <w:lang w:eastAsia="en-GB"/>
        </w:rPr>
        <w:t>overnment proposals to seek to ‘promote reconciliation’. Any judgement on whether or how these proposals might contribute to that aim is hampered by the lack of detailed information concerning the proposals which is currently available.</w:t>
      </w:r>
    </w:p>
    <w:p w14:paraId="47A4422E" w14:textId="77777777" w:rsidR="00366837" w:rsidRDefault="00366837" w:rsidP="00366837">
      <w:pPr>
        <w:widowControl/>
        <w:spacing w:after="120"/>
        <w:ind w:left="-340" w:right="680"/>
        <w:contextualSpacing/>
        <w:jc w:val="both"/>
        <w:rPr>
          <w:rFonts w:ascii="Arial" w:eastAsia="Times New Roman" w:hAnsi="Arial" w:cs="Arial"/>
          <w:color w:val="000000"/>
          <w:sz w:val="24"/>
          <w:szCs w:val="24"/>
          <w:lang w:eastAsia="en-GB"/>
        </w:rPr>
      </w:pPr>
    </w:p>
    <w:p w14:paraId="11D7F1A4" w14:textId="42DF561C" w:rsidR="00166515" w:rsidRDefault="00366837" w:rsidP="00366837">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believe that several factors are at play in creating the conditions for reconciliation or </w:t>
      </w:r>
      <w:r w:rsidR="00C56708">
        <w:rPr>
          <w:rFonts w:ascii="Arial" w:eastAsia="Times New Roman" w:hAnsi="Arial" w:cs="Arial"/>
          <w:color w:val="000000"/>
          <w:sz w:val="24"/>
          <w:szCs w:val="24"/>
          <w:lang w:eastAsia="en-GB"/>
        </w:rPr>
        <w:t xml:space="preserve">alternatively </w:t>
      </w:r>
      <w:r>
        <w:rPr>
          <w:rFonts w:ascii="Arial" w:eastAsia="Times New Roman" w:hAnsi="Arial" w:cs="Arial"/>
          <w:color w:val="000000"/>
          <w:sz w:val="24"/>
          <w:szCs w:val="24"/>
          <w:lang w:eastAsia="en-GB"/>
        </w:rPr>
        <w:t>in perpetuating suspicion and hostility, even if it does not currently lead to violence. The horrors to which society was exposed will not be forgotten by those who witnessed them; and perhaps they should not. For some this experience may lead to a desire for reconciliation and to avoid a repetition of the mistakes of the past. For others it will have produced an undying</w:t>
      </w:r>
      <w:r w:rsidR="004468E5">
        <w:rPr>
          <w:rFonts w:ascii="Arial" w:eastAsia="Times New Roman" w:hAnsi="Arial" w:cs="Arial"/>
          <w:color w:val="000000"/>
          <w:sz w:val="24"/>
          <w:szCs w:val="24"/>
          <w:lang w:eastAsia="en-GB"/>
        </w:rPr>
        <w:t xml:space="preserve"> bitterness and enmity to perceived enemies.</w:t>
      </w:r>
    </w:p>
    <w:p w14:paraId="090AB175" w14:textId="7A46787E" w:rsidR="004468E5" w:rsidRDefault="004468E5" w:rsidP="00366837">
      <w:pPr>
        <w:widowControl/>
        <w:spacing w:after="120"/>
        <w:ind w:left="-340" w:right="680"/>
        <w:contextualSpacing/>
        <w:jc w:val="both"/>
        <w:rPr>
          <w:rFonts w:ascii="Arial" w:eastAsia="Times New Roman" w:hAnsi="Arial" w:cs="Arial"/>
          <w:color w:val="000000"/>
          <w:sz w:val="24"/>
          <w:szCs w:val="24"/>
          <w:lang w:eastAsia="en-GB"/>
        </w:rPr>
      </w:pPr>
    </w:p>
    <w:p w14:paraId="468F037B" w14:textId="45B902EE" w:rsidR="000C72D6" w:rsidRDefault="004468E5" w:rsidP="004468E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Different parts of our community will have different narratives; and for the various parties their own narratives are ‘true’, even though their neighbours a mile away may have a different ‘truth’. In some ways the problem for </w:t>
      </w:r>
      <w:r w:rsidR="00107ADD">
        <w:rPr>
          <w:rFonts w:ascii="Arial" w:eastAsia="Times New Roman" w:hAnsi="Arial" w:cs="Arial"/>
          <w:color w:val="000000"/>
          <w:sz w:val="24"/>
          <w:szCs w:val="24"/>
          <w:lang w:eastAsia="en-GB"/>
        </w:rPr>
        <w:t xml:space="preserve">any </w:t>
      </w:r>
      <w:r>
        <w:rPr>
          <w:rFonts w:ascii="Arial" w:eastAsia="Times New Roman" w:hAnsi="Arial" w:cs="Arial"/>
          <w:color w:val="000000"/>
          <w:sz w:val="24"/>
          <w:szCs w:val="24"/>
          <w:lang w:eastAsia="en-GB"/>
        </w:rPr>
        <w:t>government in seeking to promote reconciliation is to find a way of addressing the desire of the parties to see their own version of history triumph among the competing narratives as some sort of ‘official’ version.</w:t>
      </w:r>
    </w:p>
    <w:p w14:paraId="5DDF3CD6" w14:textId="582DC0DF" w:rsidR="006F7D11" w:rsidRDefault="006F7D11" w:rsidP="004468E5">
      <w:pPr>
        <w:widowControl/>
        <w:spacing w:after="120"/>
        <w:ind w:left="-340" w:right="680"/>
        <w:contextualSpacing/>
        <w:jc w:val="both"/>
        <w:rPr>
          <w:rFonts w:ascii="Arial" w:eastAsia="Times New Roman" w:hAnsi="Arial" w:cs="Arial"/>
          <w:color w:val="000000"/>
          <w:sz w:val="24"/>
          <w:szCs w:val="24"/>
          <w:lang w:eastAsia="en-GB"/>
        </w:rPr>
      </w:pPr>
    </w:p>
    <w:p w14:paraId="6E4D10C3" w14:textId="39F16115" w:rsidR="006F7D11" w:rsidRDefault="006F7D11" w:rsidP="004468E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On both sides of our community divide there was widespread</w:t>
      </w:r>
      <w:r w:rsidR="00BA6D8A">
        <w:rPr>
          <w:rFonts w:ascii="Arial" w:eastAsia="Times New Roman" w:hAnsi="Arial" w:cs="Arial"/>
          <w:color w:val="000000"/>
          <w:sz w:val="24"/>
          <w:szCs w:val="24"/>
          <w:lang w:eastAsia="en-GB"/>
        </w:rPr>
        <w:t xml:space="preserve"> </w:t>
      </w:r>
      <w:r w:rsidR="00BA6D8A" w:rsidRPr="00442436">
        <w:rPr>
          <w:rFonts w:ascii="Arial" w:eastAsia="Times New Roman" w:hAnsi="Arial" w:cs="Arial"/>
          <w:color w:val="000000"/>
          <w:sz w:val="24"/>
          <w:szCs w:val="24"/>
          <w:lang w:eastAsia="en-GB"/>
        </w:rPr>
        <w:t>activity which ranged from passive collaboration to active</w:t>
      </w:r>
      <w:r w:rsidRPr="00442436">
        <w:rPr>
          <w:rFonts w:ascii="Arial" w:eastAsia="Times New Roman" w:hAnsi="Arial" w:cs="Arial"/>
          <w:color w:val="000000"/>
          <w:sz w:val="24"/>
          <w:szCs w:val="24"/>
          <w:lang w:eastAsia="en-GB"/>
        </w:rPr>
        <w:t xml:space="preserve"> connivance between terrorists</w:t>
      </w:r>
      <w:r>
        <w:rPr>
          <w:rFonts w:ascii="Arial" w:eastAsia="Times New Roman" w:hAnsi="Arial" w:cs="Arial"/>
          <w:color w:val="000000"/>
          <w:sz w:val="24"/>
          <w:szCs w:val="24"/>
          <w:lang w:eastAsia="en-GB"/>
        </w:rPr>
        <w:t xml:space="preserve"> and elements who did not regard themselves as such. This may have been as a result of a mixture of tacit support, low level sympathy or outright intimidation. In any event a feature of future reconciliation might be individual or collective acknowledge</w:t>
      </w:r>
      <w:r w:rsidR="00A85D77">
        <w:rPr>
          <w:rFonts w:ascii="Arial" w:eastAsia="Times New Roman" w:hAnsi="Arial" w:cs="Arial"/>
          <w:color w:val="000000"/>
          <w:sz w:val="24"/>
          <w:szCs w:val="24"/>
          <w:lang w:eastAsia="en-GB"/>
        </w:rPr>
        <w:t>ment</w:t>
      </w:r>
      <w:r>
        <w:rPr>
          <w:rFonts w:ascii="Arial" w:eastAsia="Times New Roman" w:hAnsi="Arial" w:cs="Arial"/>
          <w:color w:val="000000"/>
          <w:sz w:val="24"/>
          <w:szCs w:val="24"/>
          <w:lang w:eastAsia="en-GB"/>
        </w:rPr>
        <w:t xml:space="preserve"> of a failure which extended beyond the various terrorist organisations. Who brought in their children to be ‘punished’? Who allowed ‘friendly’ car hijacks or ‘friendly’ house takeovers? Who paid protection? Who laundered money? Who gave political support or cover or failed to condemn?</w:t>
      </w:r>
      <w:r w:rsidR="007E1500">
        <w:rPr>
          <w:rFonts w:ascii="Arial" w:eastAsia="Times New Roman" w:hAnsi="Arial" w:cs="Arial"/>
          <w:color w:val="000000"/>
          <w:sz w:val="24"/>
          <w:szCs w:val="24"/>
          <w:lang w:eastAsia="en-GB"/>
        </w:rPr>
        <w:t xml:space="preserve"> </w:t>
      </w:r>
      <w:r w:rsidR="00A85D77">
        <w:rPr>
          <w:rFonts w:ascii="Arial" w:eastAsia="Times New Roman" w:hAnsi="Arial" w:cs="Arial"/>
          <w:color w:val="000000"/>
          <w:sz w:val="24"/>
          <w:szCs w:val="24"/>
          <w:lang w:eastAsia="en-GB"/>
        </w:rPr>
        <w:t xml:space="preserve">Who had family members </w:t>
      </w:r>
      <w:r w:rsidR="00CD383B">
        <w:rPr>
          <w:rFonts w:ascii="Arial" w:eastAsia="Times New Roman" w:hAnsi="Arial" w:cs="Arial"/>
          <w:color w:val="000000"/>
          <w:sz w:val="24"/>
          <w:szCs w:val="24"/>
          <w:lang w:eastAsia="en-GB"/>
        </w:rPr>
        <w:t>who</w:t>
      </w:r>
      <w:r w:rsidR="00A85D77">
        <w:rPr>
          <w:rFonts w:ascii="Arial" w:eastAsia="Times New Roman" w:hAnsi="Arial" w:cs="Arial"/>
          <w:color w:val="000000"/>
          <w:sz w:val="24"/>
          <w:szCs w:val="24"/>
          <w:lang w:eastAsia="en-GB"/>
        </w:rPr>
        <w:t xml:space="preserve"> were, secretly or otherwise, killers? Who had family members </w:t>
      </w:r>
      <w:r w:rsidR="00CD383B">
        <w:rPr>
          <w:rFonts w:ascii="Arial" w:eastAsia="Times New Roman" w:hAnsi="Arial" w:cs="Arial"/>
          <w:color w:val="000000"/>
          <w:sz w:val="24"/>
          <w:szCs w:val="24"/>
          <w:lang w:eastAsia="en-GB"/>
        </w:rPr>
        <w:t>who</w:t>
      </w:r>
      <w:r w:rsidR="00A85D77">
        <w:rPr>
          <w:rFonts w:ascii="Arial" w:eastAsia="Times New Roman" w:hAnsi="Arial" w:cs="Arial"/>
          <w:color w:val="000000"/>
          <w:sz w:val="24"/>
          <w:szCs w:val="24"/>
          <w:lang w:eastAsia="en-GB"/>
        </w:rPr>
        <w:t xml:space="preserve"> were </w:t>
      </w:r>
      <w:r w:rsidR="00CD383B">
        <w:rPr>
          <w:rFonts w:ascii="Arial" w:eastAsia="Times New Roman" w:hAnsi="Arial" w:cs="Arial"/>
          <w:color w:val="000000"/>
          <w:sz w:val="24"/>
          <w:szCs w:val="24"/>
          <w:lang w:eastAsia="en-GB"/>
        </w:rPr>
        <w:t xml:space="preserve">informants? </w:t>
      </w:r>
      <w:r w:rsidR="007E1500">
        <w:rPr>
          <w:rFonts w:ascii="Arial" w:eastAsia="Times New Roman" w:hAnsi="Arial" w:cs="Arial"/>
          <w:color w:val="000000"/>
          <w:sz w:val="24"/>
          <w:szCs w:val="24"/>
          <w:lang w:eastAsia="en-GB"/>
        </w:rPr>
        <w:t>The truth may not set everyone free.</w:t>
      </w:r>
      <w:r>
        <w:rPr>
          <w:rFonts w:ascii="Arial" w:eastAsia="Times New Roman" w:hAnsi="Arial" w:cs="Arial"/>
          <w:color w:val="000000"/>
          <w:sz w:val="24"/>
          <w:szCs w:val="24"/>
          <w:lang w:eastAsia="en-GB"/>
        </w:rPr>
        <w:t xml:space="preserve"> </w:t>
      </w:r>
    </w:p>
    <w:p w14:paraId="632B3661" w14:textId="0BD21F6D" w:rsidR="004468E5" w:rsidRDefault="004468E5" w:rsidP="004468E5">
      <w:pPr>
        <w:widowControl/>
        <w:spacing w:after="120"/>
        <w:ind w:left="-340" w:right="680"/>
        <w:contextualSpacing/>
        <w:jc w:val="both"/>
        <w:rPr>
          <w:rFonts w:ascii="Arial" w:eastAsia="Times New Roman" w:hAnsi="Arial" w:cs="Arial"/>
          <w:color w:val="000000"/>
          <w:sz w:val="24"/>
          <w:szCs w:val="24"/>
          <w:lang w:eastAsia="en-GB"/>
        </w:rPr>
      </w:pPr>
    </w:p>
    <w:p w14:paraId="7CC96CB3" w14:textId="56F4A259" w:rsidR="00440A4C" w:rsidRDefault="004468E5" w:rsidP="00ED19DF">
      <w:pPr>
        <w:widowControl/>
        <w:spacing w:after="120"/>
        <w:ind w:left="-340" w:right="680"/>
        <w:contextualSpacing/>
        <w:jc w:val="both"/>
        <w:rPr>
          <w:rFonts w:ascii="Arial" w:eastAsia="Times New Roman" w:hAnsi="Arial" w:cs="Arial"/>
          <w:color w:val="000000"/>
          <w:sz w:val="24"/>
          <w:szCs w:val="24"/>
          <w:lang w:eastAsia="en-GB"/>
        </w:rPr>
      </w:pPr>
      <w:r w:rsidRPr="00442436">
        <w:rPr>
          <w:rFonts w:ascii="Arial" w:eastAsia="Times New Roman" w:hAnsi="Arial" w:cs="Arial"/>
          <w:color w:val="000000"/>
          <w:sz w:val="24"/>
          <w:szCs w:val="24"/>
          <w:lang w:eastAsia="en-GB"/>
        </w:rPr>
        <w:t xml:space="preserve">What our </w:t>
      </w:r>
      <w:r w:rsidR="00107ADD" w:rsidRPr="00442436">
        <w:rPr>
          <w:rFonts w:ascii="Arial" w:eastAsia="Times New Roman" w:hAnsi="Arial" w:cs="Arial"/>
          <w:color w:val="000000"/>
          <w:sz w:val="24"/>
          <w:szCs w:val="24"/>
          <w:lang w:eastAsia="en-GB"/>
        </w:rPr>
        <w:t>G</w:t>
      </w:r>
      <w:r w:rsidRPr="00442436">
        <w:rPr>
          <w:rFonts w:ascii="Arial" w:eastAsia="Times New Roman" w:hAnsi="Arial" w:cs="Arial"/>
          <w:color w:val="000000"/>
          <w:sz w:val="24"/>
          <w:szCs w:val="24"/>
          <w:lang w:eastAsia="en-GB"/>
        </w:rPr>
        <w:t xml:space="preserve">overnment has to recognise is that, within all the myriad versions of who did what and why, there </w:t>
      </w:r>
      <w:r w:rsidR="00ED19DF" w:rsidRPr="00442436">
        <w:rPr>
          <w:rFonts w:ascii="Arial" w:eastAsia="Times New Roman" w:hAnsi="Arial" w:cs="Arial"/>
          <w:color w:val="000000"/>
          <w:sz w:val="24"/>
          <w:szCs w:val="24"/>
          <w:lang w:eastAsia="en-GB"/>
        </w:rPr>
        <w:t>are a number of</w:t>
      </w:r>
      <w:r w:rsidRPr="00442436">
        <w:rPr>
          <w:rFonts w:ascii="Arial" w:eastAsia="Times New Roman" w:hAnsi="Arial" w:cs="Arial"/>
          <w:color w:val="000000"/>
          <w:sz w:val="24"/>
          <w:szCs w:val="24"/>
          <w:lang w:eastAsia="en-GB"/>
        </w:rPr>
        <w:t xml:space="preserve"> carefully constructed but false narrative</w:t>
      </w:r>
      <w:r w:rsidR="00ED19DF" w:rsidRPr="00442436">
        <w:rPr>
          <w:rFonts w:ascii="Arial" w:eastAsia="Times New Roman" w:hAnsi="Arial" w:cs="Arial"/>
          <w:color w:val="000000"/>
          <w:sz w:val="24"/>
          <w:szCs w:val="24"/>
          <w:lang w:eastAsia="en-GB"/>
        </w:rPr>
        <w:t>s</w:t>
      </w:r>
      <w:r w:rsidRPr="00442436">
        <w:rPr>
          <w:rFonts w:ascii="Arial" w:eastAsia="Times New Roman" w:hAnsi="Arial" w:cs="Arial"/>
          <w:color w:val="000000"/>
          <w:sz w:val="24"/>
          <w:szCs w:val="24"/>
          <w:lang w:eastAsia="en-GB"/>
        </w:rPr>
        <w:t xml:space="preserve"> which </w:t>
      </w:r>
      <w:r w:rsidR="00ED19DF" w:rsidRPr="00442436">
        <w:rPr>
          <w:rFonts w:ascii="Arial" w:eastAsia="Times New Roman" w:hAnsi="Arial" w:cs="Arial"/>
          <w:color w:val="000000"/>
          <w:sz w:val="24"/>
          <w:szCs w:val="24"/>
          <w:lang w:eastAsia="en-GB"/>
        </w:rPr>
        <w:t xml:space="preserve">have </w:t>
      </w:r>
      <w:r w:rsidRPr="00442436">
        <w:rPr>
          <w:rFonts w:ascii="Arial" w:eastAsia="Times New Roman" w:hAnsi="Arial" w:cs="Arial"/>
          <w:color w:val="000000"/>
          <w:sz w:val="24"/>
          <w:szCs w:val="24"/>
          <w:lang w:eastAsia="en-GB"/>
        </w:rPr>
        <w:t xml:space="preserve">a clear political purpose. The </w:t>
      </w:r>
      <w:r w:rsidR="00ED19DF" w:rsidRPr="00442436">
        <w:rPr>
          <w:rFonts w:ascii="Arial" w:eastAsia="Times New Roman" w:hAnsi="Arial" w:cs="Arial"/>
          <w:color w:val="000000"/>
          <w:sz w:val="24"/>
          <w:szCs w:val="24"/>
          <w:lang w:eastAsia="en-GB"/>
        </w:rPr>
        <w:t>Government must therefore ensure that whatever is put in place for the purposes of creating or maintaining a record of the past is supervised by accredited historians and that the product is peer-reviewed.</w:t>
      </w:r>
    </w:p>
    <w:p w14:paraId="40EC519C" w14:textId="4503B4B3" w:rsidR="00440A4C" w:rsidRDefault="00440A4C" w:rsidP="004468E5">
      <w:pPr>
        <w:widowControl/>
        <w:spacing w:after="120"/>
        <w:ind w:left="-340" w:right="680"/>
        <w:contextualSpacing/>
        <w:jc w:val="both"/>
        <w:rPr>
          <w:rFonts w:ascii="Arial" w:eastAsia="Times New Roman" w:hAnsi="Arial" w:cs="Arial"/>
          <w:color w:val="000000"/>
          <w:sz w:val="24"/>
          <w:szCs w:val="24"/>
          <w:lang w:eastAsia="en-GB"/>
        </w:rPr>
      </w:pPr>
    </w:p>
    <w:p w14:paraId="3A380780" w14:textId="6A2FBDDE" w:rsidR="00440A4C" w:rsidRDefault="00440A4C" w:rsidP="004468E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For </w:t>
      </w:r>
      <w:r w:rsidR="00D2554C" w:rsidRPr="00442436">
        <w:rPr>
          <w:rFonts w:ascii="Arial" w:eastAsia="Times New Roman" w:hAnsi="Arial" w:cs="Arial"/>
          <w:color w:val="000000"/>
          <w:sz w:val="24"/>
          <w:szCs w:val="24"/>
          <w:lang w:eastAsia="en-GB"/>
        </w:rPr>
        <w:t xml:space="preserve">some, true </w:t>
      </w:r>
      <w:r w:rsidRPr="00442436">
        <w:rPr>
          <w:rFonts w:ascii="Arial" w:eastAsia="Times New Roman" w:hAnsi="Arial" w:cs="Arial"/>
          <w:color w:val="000000"/>
          <w:sz w:val="24"/>
          <w:szCs w:val="24"/>
          <w:lang w:eastAsia="en-GB"/>
        </w:rPr>
        <w:t>reconciliation will be considered o</w:t>
      </w:r>
      <w:r w:rsidR="00D2554C" w:rsidRPr="00442436">
        <w:rPr>
          <w:rFonts w:ascii="Arial" w:eastAsia="Times New Roman" w:hAnsi="Arial" w:cs="Arial"/>
          <w:color w:val="000000"/>
          <w:sz w:val="24"/>
          <w:szCs w:val="24"/>
          <w:lang w:eastAsia="en-GB"/>
        </w:rPr>
        <w:t>nly when</w:t>
      </w:r>
      <w:r w:rsidRPr="00442436">
        <w:rPr>
          <w:rFonts w:ascii="Arial" w:eastAsia="Times New Roman" w:hAnsi="Arial" w:cs="Arial"/>
          <w:color w:val="000000"/>
          <w:sz w:val="24"/>
          <w:szCs w:val="24"/>
          <w:lang w:eastAsia="en-GB"/>
        </w:rPr>
        <w:t xml:space="preserve"> their primary political objectives have been achieved</w:t>
      </w:r>
      <w:r w:rsidR="00D2554C" w:rsidRPr="00442436">
        <w:rPr>
          <w:rFonts w:ascii="Arial" w:eastAsia="Times New Roman" w:hAnsi="Arial" w:cs="Arial"/>
          <w:color w:val="000000"/>
          <w:sz w:val="24"/>
          <w:szCs w:val="24"/>
          <w:lang w:eastAsia="en-GB"/>
        </w:rPr>
        <w:t xml:space="preserve"> and their particular historical narrative has been accepted</w:t>
      </w:r>
      <w:r w:rsidRPr="0044243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Provided that our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overnment recognises this there is no reason why they should not make every effort to promote reconciliation among ordinary people who wish to distance themselves from such manipulation.</w:t>
      </w:r>
      <w:r w:rsidR="00A0756B">
        <w:rPr>
          <w:rFonts w:ascii="Arial" w:eastAsia="Times New Roman" w:hAnsi="Arial" w:cs="Arial"/>
          <w:color w:val="000000"/>
          <w:sz w:val="24"/>
          <w:szCs w:val="24"/>
          <w:lang w:eastAsia="en-GB"/>
        </w:rPr>
        <w:t xml:space="preserve"> There are many avenues for suitable </w:t>
      </w:r>
      <w:r w:rsidR="00105B94">
        <w:rPr>
          <w:rFonts w:ascii="Arial" w:eastAsia="Times New Roman" w:hAnsi="Arial" w:cs="Arial"/>
          <w:color w:val="000000"/>
          <w:sz w:val="24"/>
          <w:szCs w:val="24"/>
          <w:lang w:eastAsia="en-GB"/>
        </w:rPr>
        <w:t>activiti</w:t>
      </w:r>
      <w:r w:rsidR="00A0756B">
        <w:rPr>
          <w:rFonts w:ascii="Arial" w:eastAsia="Times New Roman" w:hAnsi="Arial" w:cs="Arial"/>
          <w:color w:val="000000"/>
          <w:sz w:val="24"/>
          <w:szCs w:val="24"/>
          <w:lang w:eastAsia="en-GB"/>
        </w:rPr>
        <w:t xml:space="preserve">es, including education, </w:t>
      </w:r>
      <w:r w:rsidR="00105B94">
        <w:rPr>
          <w:rFonts w:ascii="Arial" w:eastAsia="Times New Roman" w:hAnsi="Arial" w:cs="Arial"/>
          <w:color w:val="000000"/>
          <w:sz w:val="24"/>
          <w:szCs w:val="24"/>
          <w:lang w:eastAsia="en-GB"/>
        </w:rPr>
        <w:t>intra-</w:t>
      </w:r>
      <w:r w:rsidR="00A0756B">
        <w:rPr>
          <w:rFonts w:ascii="Arial" w:eastAsia="Times New Roman" w:hAnsi="Arial" w:cs="Arial"/>
          <w:color w:val="000000"/>
          <w:sz w:val="24"/>
          <w:szCs w:val="24"/>
          <w:lang w:eastAsia="en-GB"/>
        </w:rPr>
        <w:t>community</w:t>
      </w:r>
      <w:r w:rsidR="00105B94">
        <w:rPr>
          <w:rFonts w:ascii="Arial" w:eastAsia="Times New Roman" w:hAnsi="Arial" w:cs="Arial"/>
          <w:color w:val="000000"/>
          <w:sz w:val="24"/>
          <w:szCs w:val="24"/>
          <w:lang w:eastAsia="en-GB"/>
        </w:rPr>
        <w:t xml:space="preserve"> and cross-community</w:t>
      </w:r>
      <w:r w:rsidR="00A0756B">
        <w:rPr>
          <w:rFonts w:ascii="Arial" w:eastAsia="Times New Roman" w:hAnsi="Arial" w:cs="Arial"/>
          <w:color w:val="000000"/>
          <w:sz w:val="24"/>
          <w:szCs w:val="24"/>
          <w:lang w:eastAsia="en-GB"/>
        </w:rPr>
        <w:t xml:space="preserve"> projects and funding for </w:t>
      </w:r>
      <w:r w:rsidR="00105B94">
        <w:rPr>
          <w:rFonts w:ascii="Arial" w:eastAsia="Times New Roman" w:hAnsi="Arial" w:cs="Arial"/>
          <w:color w:val="000000"/>
          <w:sz w:val="24"/>
          <w:szCs w:val="24"/>
          <w:lang w:eastAsia="en-GB"/>
        </w:rPr>
        <w:t xml:space="preserve">other </w:t>
      </w:r>
      <w:r w:rsidR="00A0756B">
        <w:rPr>
          <w:rFonts w:ascii="Arial" w:eastAsia="Times New Roman" w:hAnsi="Arial" w:cs="Arial"/>
          <w:color w:val="000000"/>
          <w:sz w:val="24"/>
          <w:szCs w:val="24"/>
          <w:lang w:eastAsia="en-GB"/>
        </w:rPr>
        <w:t>local initiatives.</w:t>
      </w:r>
    </w:p>
    <w:p w14:paraId="375355B8" w14:textId="130C46CB" w:rsidR="00A0756B" w:rsidRDefault="00A0756B" w:rsidP="004468E5">
      <w:pPr>
        <w:widowControl/>
        <w:spacing w:after="120"/>
        <w:ind w:left="-340" w:right="680"/>
        <w:contextualSpacing/>
        <w:jc w:val="both"/>
        <w:rPr>
          <w:rFonts w:ascii="Arial" w:eastAsia="Times New Roman" w:hAnsi="Arial" w:cs="Arial"/>
          <w:color w:val="000000"/>
          <w:sz w:val="24"/>
          <w:szCs w:val="24"/>
          <w:lang w:eastAsia="en-GB"/>
        </w:rPr>
      </w:pPr>
    </w:p>
    <w:p w14:paraId="155BACD4" w14:textId="77777777" w:rsidR="00420BF7" w:rsidRDefault="00A0756B" w:rsidP="004468E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And of course it must be accepted that, perhaps not as individuals, but as an Association, retired police officers have their own narrative of the last half century. It is at least as valid as that of any other section within society. As one of the primary roles of the police was to prevent and </w:t>
      </w:r>
      <w:r w:rsidR="005A064B">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deal with conflict (at some cost) it follows that the narrative of retired police officers includes a strong desire for reconciliation.</w:t>
      </w:r>
      <w:r w:rsidR="00E11875">
        <w:rPr>
          <w:rFonts w:ascii="Arial" w:eastAsia="Times New Roman" w:hAnsi="Arial" w:cs="Arial"/>
          <w:color w:val="000000"/>
          <w:sz w:val="24"/>
          <w:szCs w:val="24"/>
          <w:lang w:eastAsia="en-GB"/>
        </w:rPr>
        <w:t xml:space="preserve"> Set beside </w:t>
      </w:r>
      <w:r w:rsidR="00E11875">
        <w:rPr>
          <w:rFonts w:ascii="Arial" w:eastAsia="Times New Roman" w:hAnsi="Arial" w:cs="Arial"/>
          <w:color w:val="000000"/>
          <w:sz w:val="24"/>
          <w:szCs w:val="24"/>
          <w:lang w:eastAsia="en-GB"/>
        </w:rPr>
        <w:lastRenderedPageBreak/>
        <w:t xml:space="preserve">this is that part of traditional police culture which says, </w:t>
      </w:r>
      <w:r w:rsidR="00CD383B">
        <w:rPr>
          <w:rFonts w:ascii="Arial" w:eastAsia="Times New Roman" w:hAnsi="Arial" w:cs="Arial"/>
          <w:color w:val="000000"/>
          <w:sz w:val="24"/>
          <w:szCs w:val="24"/>
          <w:lang w:eastAsia="en-GB"/>
        </w:rPr>
        <w:t>‘</w:t>
      </w:r>
      <w:r w:rsidR="00CD383B" w:rsidRPr="005A064B">
        <w:rPr>
          <w:rFonts w:ascii="Arial" w:eastAsia="Times New Roman" w:hAnsi="Arial" w:cs="Arial"/>
          <w:i/>
          <w:iCs/>
          <w:color w:val="000000"/>
          <w:sz w:val="24"/>
          <w:szCs w:val="24"/>
          <w:lang w:eastAsia="en-GB"/>
        </w:rPr>
        <w:t xml:space="preserve">Fiat </w:t>
      </w:r>
      <w:proofErr w:type="spellStart"/>
      <w:r w:rsidR="007A0B03" w:rsidRPr="005A064B">
        <w:rPr>
          <w:rFonts w:ascii="Arial" w:eastAsia="Times New Roman" w:hAnsi="Arial" w:cs="Arial"/>
          <w:i/>
          <w:iCs/>
          <w:color w:val="000000"/>
          <w:sz w:val="24"/>
          <w:szCs w:val="24"/>
          <w:lang w:eastAsia="en-GB"/>
        </w:rPr>
        <w:t>j</w:t>
      </w:r>
      <w:r w:rsidR="00105B94" w:rsidRPr="005A064B">
        <w:rPr>
          <w:rFonts w:ascii="Arial" w:eastAsia="Times New Roman" w:hAnsi="Arial" w:cs="Arial"/>
          <w:i/>
          <w:iCs/>
          <w:color w:val="000000"/>
          <w:sz w:val="24"/>
          <w:szCs w:val="24"/>
          <w:lang w:eastAsia="en-GB"/>
        </w:rPr>
        <w:t>ustitia</w:t>
      </w:r>
      <w:proofErr w:type="spellEnd"/>
      <w:r w:rsidR="00105B94" w:rsidRPr="005A064B">
        <w:rPr>
          <w:rFonts w:ascii="Arial" w:eastAsia="Times New Roman" w:hAnsi="Arial" w:cs="Arial"/>
          <w:i/>
          <w:iCs/>
          <w:color w:val="000000"/>
          <w:sz w:val="24"/>
          <w:szCs w:val="24"/>
          <w:lang w:eastAsia="en-GB"/>
        </w:rPr>
        <w:t xml:space="preserve">, </w:t>
      </w:r>
      <w:proofErr w:type="spellStart"/>
      <w:r w:rsidR="00105B94" w:rsidRPr="005A064B">
        <w:rPr>
          <w:rFonts w:ascii="Arial" w:eastAsia="Times New Roman" w:hAnsi="Arial" w:cs="Arial"/>
          <w:i/>
          <w:iCs/>
          <w:color w:val="000000"/>
          <w:sz w:val="24"/>
          <w:szCs w:val="24"/>
          <w:lang w:eastAsia="en-GB"/>
        </w:rPr>
        <w:t>ruat</w:t>
      </w:r>
      <w:proofErr w:type="spellEnd"/>
      <w:r w:rsidR="00105B94" w:rsidRPr="005A064B">
        <w:rPr>
          <w:rFonts w:ascii="Arial" w:eastAsia="Times New Roman" w:hAnsi="Arial" w:cs="Arial"/>
          <w:i/>
          <w:iCs/>
          <w:color w:val="000000"/>
          <w:sz w:val="24"/>
          <w:szCs w:val="24"/>
          <w:lang w:eastAsia="en-GB"/>
        </w:rPr>
        <w:t xml:space="preserve"> </w:t>
      </w:r>
      <w:proofErr w:type="spellStart"/>
      <w:r w:rsidR="00105B94" w:rsidRPr="005A064B">
        <w:rPr>
          <w:rFonts w:ascii="Arial" w:eastAsia="Times New Roman" w:hAnsi="Arial" w:cs="Arial"/>
          <w:i/>
          <w:iCs/>
          <w:color w:val="000000"/>
          <w:sz w:val="24"/>
          <w:szCs w:val="24"/>
          <w:lang w:eastAsia="en-GB"/>
        </w:rPr>
        <w:t>caelum</w:t>
      </w:r>
      <w:proofErr w:type="spellEnd"/>
      <w:r w:rsidR="00CD383B">
        <w:rPr>
          <w:rFonts w:ascii="Arial" w:eastAsia="Times New Roman" w:hAnsi="Arial" w:cs="Arial"/>
          <w:color w:val="000000"/>
          <w:sz w:val="24"/>
          <w:szCs w:val="24"/>
          <w:lang w:eastAsia="en-GB"/>
        </w:rPr>
        <w:t xml:space="preserve"> - l</w:t>
      </w:r>
      <w:r w:rsidR="00E11875">
        <w:rPr>
          <w:rFonts w:ascii="Arial" w:eastAsia="Times New Roman" w:hAnsi="Arial" w:cs="Arial"/>
          <w:color w:val="000000"/>
          <w:sz w:val="24"/>
          <w:szCs w:val="24"/>
          <w:lang w:eastAsia="en-GB"/>
        </w:rPr>
        <w:t xml:space="preserve">et justice be done, though the heavens fall’. That is part of the reason why we continue to oppose amnesty, whether for ourselves or anybody else, in respect of criminal behaviour. Provided that the criteria as suggested by this </w:t>
      </w:r>
      <w:r w:rsidR="00107ADD">
        <w:rPr>
          <w:rFonts w:ascii="Arial" w:eastAsia="Times New Roman" w:hAnsi="Arial" w:cs="Arial"/>
          <w:color w:val="000000"/>
          <w:sz w:val="24"/>
          <w:szCs w:val="24"/>
          <w:lang w:eastAsia="en-GB"/>
        </w:rPr>
        <w:t>G</w:t>
      </w:r>
      <w:r w:rsidR="00E11875">
        <w:rPr>
          <w:rFonts w:ascii="Arial" w:eastAsia="Times New Roman" w:hAnsi="Arial" w:cs="Arial"/>
          <w:color w:val="000000"/>
          <w:sz w:val="24"/>
          <w:szCs w:val="24"/>
          <w:lang w:eastAsia="en-GB"/>
        </w:rPr>
        <w:t>overnment initiative are present, there could be new investigations and even prosecutions – but for the reasons set out above this seems unlikely</w:t>
      </w:r>
      <w:r w:rsidR="007C05F5">
        <w:rPr>
          <w:rFonts w:ascii="Arial" w:eastAsia="Times New Roman" w:hAnsi="Arial" w:cs="Arial"/>
          <w:color w:val="000000"/>
          <w:sz w:val="24"/>
          <w:szCs w:val="24"/>
          <w:lang w:eastAsia="en-GB"/>
        </w:rPr>
        <w:t xml:space="preserve"> to be a frequent occurrence</w:t>
      </w:r>
      <w:r w:rsidR="00E11875">
        <w:rPr>
          <w:rFonts w:ascii="Arial" w:eastAsia="Times New Roman" w:hAnsi="Arial" w:cs="Arial"/>
          <w:color w:val="000000"/>
          <w:sz w:val="24"/>
          <w:szCs w:val="24"/>
          <w:lang w:eastAsia="en-GB"/>
        </w:rPr>
        <w:t>.</w:t>
      </w:r>
    </w:p>
    <w:p w14:paraId="5F20C880" w14:textId="77777777" w:rsidR="00420BF7" w:rsidRDefault="00420BF7" w:rsidP="004468E5">
      <w:pPr>
        <w:widowControl/>
        <w:spacing w:after="120"/>
        <w:ind w:left="-340" w:right="680"/>
        <w:contextualSpacing/>
        <w:jc w:val="both"/>
        <w:rPr>
          <w:rFonts w:ascii="Arial" w:eastAsia="Times New Roman" w:hAnsi="Arial" w:cs="Arial"/>
          <w:color w:val="000000"/>
          <w:sz w:val="24"/>
          <w:szCs w:val="24"/>
          <w:lang w:eastAsia="en-GB"/>
        </w:rPr>
      </w:pPr>
    </w:p>
    <w:p w14:paraId="59049025" w14:textId="79020FB0" w:rsidR="00A0756B" w:rsidRDefault="006F7D11" w:rsidP="004468E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do not see the pursuit of justice through the law as being by itself a bar to reconciliation; but if carried out in a partisan and partial manner and against all principles of natural justice and undertakings previously given to serving members of the security forces then it could be.</w:t>
      </w:r>
      <w:r w:rsidR="00CD383B">
        <w:rPr>
          <w:rFonts w:ascii="Arial" w:eastAsia="Times New Roman" w:hAnsi="Arial" w:cs="Arial"/>
          <w:color w:val="000000"/>
          <w:sz w:val="24"/>
          <w:szCs w:val="24"/>
          <w:lang w:eastAsia="en-GB"/>
        </w:rPr>
        <w:t xml:space="preserve"> We therefore welcome what appears to be an extension to Northern Ireland of the principles espoused in the legislation to address the concerns of military veterans in relation to overseas campaigns. </w:t>
      </w:r>
    </w:p>
    <w:p w14:paraId="54BEFC38" w14:textId="3DDEE575" w:rsidR="00D62BD3" w:rsidRDefault="00D62BD3" w:rsidP="004468E5">
      <w:pPr>
        <w:widowControl/>
        <w:spacing w:after="120"/>
        <w:ind w:left="-340" w:right="680"/>
        <w:contextualSpacing/>
        <w:jc w:val="both"/>
        <w:rPr>
          <w:rFonts w:ascii="Arial" w:eastAsia="Times New Roman" w:hAnsi="Arial" w:cs="Arial"/>
          <w:color w:val="000000"/>
          <w:sz w:val="24"/>
          <w:szCs w:val="24"/>
          <w:lang w:eastAsia="en-GB"/>
        </w:rPr>
      </w:pPr>
    </w:p>
    <w:p w14:paraId="27636867" w14:textId="77777777" w:rsidR="00420BF7" w:rsidRDefault="00D62BD3" w:rsidP="00420BF7">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we have stated in the past (for example to Eames/Bradley, to Haas</w:t>
      </w:r>
      <w:r w:rsidR="00B8319F">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and to NIAC), we believe that if we are to achieve reconciliation</w:t>
      </w:r>
      <w:r w:rsidR="00CD383B">
        <w:rPr>
          <w:rFonts w:ascii="Arial" w:eastAsia="Times New Roman" w:hAnsi="Arial" w:cs="Arial"/>
          <w:color w:val="000000"/>
          <w:sz w:val="24"/>
          <w:szCs w:val="24"/>
          <w:lang w:eastAsia="en-GB"/>
        </w:rPr>
        <w:t xml:space="preserve"> here</w:t>
      </w:r>
      <w:r>
        <w:rPr>
          <w:rFonts w:ascii="Arial" w:eastAsia="Times New Roman" w:hAnsi="Arial" w:cs="Arial"/>
          <w:color w:val="000000"/>
          <w:sz w:val="24"/>
          <w:szCs w:val="24"/>
          <w:lang w:eastAsia="en-GB"/>
        </w:rPr>
        <w:t xml:space="preserve"> then the history of the last fifty years should be written by historians </w:t>
      </w:r>
      <w:r w:rsidR="00CD383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and not by politicians, lawyers and polemicists</w:t>
      </w:r>
      <w:r w:rsidR="007F2441">
        <w:rPr>
          <w:rFonts w:ascii="Arial" w:eastAsia="Times New Roman" w:hAnsi="Arial" w:cs="Arial"/>
          <w:color w:val="000000"/>
          <w:sz w:val="24"/>
          <w:szCs w:val="24"/>
          <w:lang w:eastAsia="en-GB"/>
        </w:rPr>
        <w:t>.</w:t>
      </w:r>
    </w:p>
    <w:p w14:paraId="0E2D97FE" w14:textId="77777777" w:rsidR="00420BF7" w:rsidRDefault="00420BF7" w:rsidP="00420BF7">
      <w:pPr>
        <w:widowControl/>
        <w:spacing w:after="120"/>
        <w:ind w:left="-340" w:right="680"/>
        <w:contextualSpacing/>
        <w:jc w:val="both"/>
        <w:rPr>
          <w:rFonts w:ascii="Arial" w:eastAsia="Times New Roman" w:hAnsi="Arial" w:cs="Arial"/>
          <w:color w:val="000000"/>
          <w:sz w:val="24"/>
          <w:szCs w:val="24"/>
          <w:lang w:eastAsia="en-GB"/>
        </w:rPr>
      </w:pPr>
    </w:p>
    <w:p w14:paraId="772C706E" w14:textId="77777777" w:rsidR="00420BF7" w:rsidRDefault="00420BF7" w:rsidP="00420BF7">
      <w:pPr>
        <w:widowControl/>
        <w:spacing w:after="120"/>
        <w:ind w:left="-340" w:right="680"/>
        <w:contextualSpacing/>
        <w:jc w:val="both"/>
        <w:rPr>
          <w:rFonts w:ascii="Arial" w:eastAsia="Times New Roman" w:hAnsi="Arial" w:cs="Arial"/>
          <w:color w:val="000000"/>
          <w:sz w:val="24"/>
          <w:szCs w:val="24"/>
          <w:lang w:eastAsia="en-GB"/>
        </w:rPr>
      </w:pPr>
    </w:p>
    <w:p w14:paraId="7BC1307F" w14:textId="062C93BD" w:rsidR="00166515" w:rsidRPr="00420BF7" w:rsidRDefault="00744176" w:rsidP="00420BF7">
      <w:pPr>
        <w:widowControl/>
        <w:spacing w:after="120"/>
        <w:ind w:left="-340" w:right="680"/>
        <w:contextualSpacing/>
        <w:jc w:val="both"/>
        <w:rPr>
          <w:rFonts w:ascii="Arial" w:eastAsia="Times New Roman" w:hAnsi="Arial" w:cs="Arial"/>
          <w:color w:val="000000"/>
          <w:sz w:val="24"/>
          <w:szCs w:val="24"/>
          <w:lang w:eastAsia="en-GB"/>
        </w:rPr>
      </w:pPr>
      <w:r w:rsidRPr="0006291A">
        <w:rPr>
          <w:rFonts w:ascii="Arial" w:eastAsia="Times New Roman" w:hAnsi="Arial" w:cs="Arial"/>
          <w:i/>
          <w:iCs/>
          <w:sz w:val="24"/>
          <w:szCs w:val="24"/>
          <w:u w:val="single"/>
          <w:lang w:eastAsia="en-GB"/>
        </w:rPr>
        <w:t>The potential merits of consolidating the bodies envisaged in the Stormont House Agreement into a single organisation;</w:t>
      </w:r>
    </w:p>
    <w:p w14:paraId="011D6AA9" w14:textId="609192FC" w:rsidR="00166515" w:rsidRPr="007F2441" w:rsidRDefault="00166515" w:rsidP="00166515">
      <w:pPr>
        <w:widowControl/>
        <w:spacing w:after="120"/>
        <w:ind w:left="-340" w:right="680"/>
        <w:contextualSpacing/>
        <w:jc w:val="both"/>
        <w:rPr>
          <w:rFonts w:ascii="Arial" w:eastAsia="Times New Roman" w:hAnsi="Arial" w:cs="Arial"/>
          <w:sz w:val="24"/>
          <w:szCs w:val="24"/>
          <w:lang w:eastAsia="en-GB"/>
        </w:rPr>
      </w:pPr>
    </w:p>
    <w:p w14:paraId="3CAD56F4" w14:textId="13A37B86" w:rsidR="0077033E" w:rsidRDefault="007F2441"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is an understandable desire within the political</w:t>
      </w:r>
      <w:r w:rsidR="0077033E">
        <w:rPr>
          <w:rFonts w:ascii="Arial" w:eastAsia="Times New Roman" w:hAnsi="Arial" w:cs="Arial"/>
          <w:color w:val="000000"/>
          <w:sz w:val="24"/>
          <w:szCs w:val="24"/>
          <w:lang w:eastAsia="en-GB"/>
        </w:rPr>
        <w:t>, legal</w:t>
      </w:r>
      <w:r>
        <w:rPr>
          <w:rFonts w:ascii="Arial" w:eastAsia="Times New Roman" w:hAnsi="Arial" w:cs="Arial"/>
          <w:color w:val="000000"/>
          <w:sz w:val="24"/>
          <w:szCs w:val="24"/>
          <w:lang w:eastAsia="en-GB"/>
        </w:rPr>
        <w:t xml:space="preserve"> and institutional establishment</w:t>
      </w:r>
      <w:r w:rsidR="005A522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a</w:t>
      </w:r>
      <w:r w:rsidR="005A5226">
        <w:rPr>
          <w:rFonts w:ascii="Arial" w:eastAsia="Times New Roman" w:hAnsi="Arial" w:cs="Arial"/>
          <w:color w:val="000000"/>
          <w:sz w:val="24"/>
          <w:szCs w:val="24"/>
          <w:lang w:eastAsia="en-GB"/>
        </w:rPr>
        <w:t>s well as</w:t>
      </w:r>
      <w:r>
        <w:rPr>
          <w:rFonts w:ascii="Arial" w:eastAsia="Times New Roman" w:hAnsi="Arial" w:cs="Arial"/>
          <w:color w:val="000000"/>
          <w:sz w:val="24"/>
          <w:szCs w:val="24"/>
          <w:lang w:eastAsia="en-GB"/>
        </w:rPr>
        <w:t xml:space="preserve"> in many other quarters</w:t>
      </w:r>
      <w:r w:rsidR="00D81876">
        <w:rPr>
          <w:rFonts w:ascii="Arial" w:eastAsia="Times New Roman" w:hAnsi="Arial" w:cs="Arial"/>
          <w:color w:val="000000"/>
          <w:sz w:val="24"/>
          <w:szCs w:val="24"/>
          <w:lang w:eastAsia="en-GB"/>
        </w:rPr>
        <w:t xml:space="preserve"> here</w:t>
      </w:r>
      <w:r w:rsidR="005A522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to avoid having to accept responsibility for ‘delivering’ on legacy issues. Everyone will have a reason why they should not be handed this poisoned chalice </w:t>
      </w:r>
      <w:r w:rsidR="005A522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and each m</w:t>
      </w:r>
      <w:r w:rsidR="00D81876">
        <w:rPr>
          <w:rFonts w:ascii="Arial" w:eastAsia="Times New Roman" w:hAnsi="Arial" w:cs="Arial"/>
          <w:color w:val="000000"/>
          <w:sz w:val="24"/>
          <w:szCs w:val="24"/>
          <w:lang w:eastAsia="en-GB"/>
        </w:rPr>
        <w:t>ight</w:t>
      </w:r>
      <w:r>
        <w:rPr>
          <w:rFonts w:ascii="Arial" w:eastAsia="Times New Roman" w:hAnsi="Arial" w:cs="Arial"/>
          <w:color w:val="000000"/>
          <w:sz w:val="24"/>
          <w:szCs w:val="24"/>
          <w:lang w:eastAsia="en-GB"/>
        </w:rPr>
        <w:t xml:space="preserve"> be right.</w:t>
      </w:r>
      <w:r w:rsidR="0077033E">
        <w:rPr>
          <w:rFonts w:ascii="Arial" w:eastAsia="Times New Roman" w:hAnsi="Arial" w:cs="Arial"/>
          <w:color w:val="000000"/>
          <w:sz w:val="24"/>
          <w:szCs w:val="24"/>
          <w:lang w:eastAsia="en-GB"/>
        </w:rPr>
        <w:t xml:space="preserve"> It may therefore be unsurprising that one proffered solution is the establishment of a new and separate body to address the issues of investigation, information recovery and family reports. The present proposals do not appear to resurrect the other aspects or pillars of the 2018 draft legislation so our comments will be restricted to the body which appears to be the new and revised HIU.</w:t>
      </w:r>
    </w:p>
    <w:p w14:paraId="183FEA0A" w14:textId="77777777" w:rsidR="0077033E" w:rsidRDefault="0077033E" w:rsidP="00166515">
      <w:pPr>
        <w:widowControl/>
        <w:spacing w:after="120"/>
        <w:ind w:left="-340" w:right="680"/>
        <w:contextualSpacing/>
        <w:jc w:val="both"/>
        <w:rPr>
          <w:rFonts w:ascii="Arial" w:eastAsia="Times New Roman" w:hAnsi="Arial" w:cs="Arial"/>
          <w:color w:val="000000"/>
          <w:sz w:val="24"/>
          <w:szCs w:val="24"/>
          <w:lang w:eastAsia="en-GB"/>
        </w:rPr>
      </w:pPr>
    </w:p>
    <w:p w14:paraId="4BC0B33A" w14:textId="7BBE33AE" w:rsidR="00166515" w:rsidRDefault="001A62A1"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For the reasons which we have set out above we do not believe that the case has yet been made for the HIU as a distinct </w:t>
      </w:r>
      <w:r w:rsidR="00B17DD6">
        <w:rPr>
          <w:rFonts w:ascii="Arial" w:eastAsia="Times New Roman" w:hAnsi="Arial" w:cs="Arial"/>
          <w:color w:val="000000"/>
          <w:sz w:val="24"/>
          <w:szCs w:val="24"/>
          <w:lang w:eastAsia="en-GB"/>
        </w:rPr>
        <w:t xml:space="preserve">stand-alone </w:t>
      </w:r>
      <w:r>
        <w:rPr>
          <w:rFonts w:ascii="Arial" w:eastAsia="Times New Roman" w:hAnsi="Arial" w:cs="Arial"/>
          <w:color w:val="000000"/>
          <w:sz w:val="24"/>
          <w:szCs w:val="24"/>
          <w:lang w:eastAsia="en-GB"/>
        </w:rPr>
        <w:t>body. We believe that the functions which have been tentatively designated for it could be adequately and effectively discharged by a properly constituted and properly resourced Legacy Investigations Branch within the PSNI.</w:t>
      </w:r>
      <w:r w:rsidR="0077033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Quite apart from being more efficient we also believe that such arrangements would be more cost-effective. We believe that this would be constitutionally and legally proper and that it would command significant public support and confidence.</w:t>
      </w:r>
    </w:p>
    <w:p w14:paraId="3F8AC305" w14:textId="49685F46" w:rsidR="001A62A1" w:rsidRDefault="001A62A1" w:rsidP="00166515">
      <w:pPr>
        <w:widowControl/>
        <w:spacing w:after="120"/>
        <w:ind w:left="-340" w:right="680"/>
        <w:contextualSpacing/>
        <w:jc w:val="both"/>
        <w:rPr>
          <w:rFonts w:ascii="Arial" w:eastAsia="Times New Roman" w:hAnsi="Arial" w:cs="Arial"/>
          <w:color w:val="000000"/>
          <w:sz w:val="24"/>
          <w:szCs w:val="24"/>
          <w:lang w:eastAsia="en-GB"/>
        </w:rPr>
      </w:pPr>
    </w:p>
    <w:p w14:paraId="3EC3D00A" w14:textId="77777777" w:rsidR="0006291A" w:rsidRDefault="001A62A1" w:rsidP="0006291A">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may be elements who would oppose such an arrangement, arguing that some parts of the community would not have confidence in a body which was incorporated within the PSNI. It would then fall to our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overnment to seek the support of all parts of the Policing Board in persuading their communities of the merits of the proposal.</w:t>
      </w:r>
    </w:p>
    <w:p w14:paraId="1655B59A"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21E2E54A"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5214130A" w14:textId="71248A84" w:rsidR="00166515" w:rsidRPr="0006291A" w:rsidRDefault="00744176" w:rsidP="0006291A">
      <w:pPr>
        <w:widowControl/>
        <w:spacing w:after="120"/>
        <w:ind w:left="-340" w:right="680"/>
        <w:contextualSpacing/>
        <w:jc w:val="both"/>
        <w:rPr>
          <w:rFonts w:ascii="Arial" w:eastAsia="Times New Roman" w:hAnsi="Arial" w:cs="Arial"/>
          <w:color w:val="000000"/>
          <w:sz w:val="24"/>
          <w:szCs w:val="24"/>
          <w:u w:val="single"/>
          <w:lang w:eastAsia="en-GB"/>
        </w:rPr>
      </w:pPr>
      <w:r w:rsidRPr="0006291A">
        <w:rPr>
          <w:rFonts w:ascii="Arial" w:eastAsia="Times New Roman" w:hAnsi="Arial" w:cs="Arial"/>
          <w:i/>
          <w:iCs/>
          <w:sz w:val="24"/>
          <w:szCs w:val="24"/>
          <w:u w:val="single"/>
          <w:lang w:eastAsia="en-GB"/>
        </w:rPr>
        <w:t>The equity of the Government’s proposed approach to the re-investigation of cases;</w:t>
      </w:r>
    </w:p>
    <w:p w14:paraId="71B6A6EB" w14:textId="072E8235" w:rsidR="00166515" w:rsidRPr="00BB51C3" w:rsidRDefault="00166515" w:rsidP="00166515">
      <w:pPr>
        <w:widowControl/>
        <w:spacing w:after="120"/>
        <w:ind w:left="-340" w:right="680"/>
        <w:contextualSpacing/>
        <w:jc w:val="both"/>
        <w:rPr>
          <w:rFonts w:ascii="Arial" w:eastAsia="Times New Roman" w:hAnsi="Arial" w:cs="Arial"/>
          <w:sz w:val="24"/>
          <w:szCs w:val="24"/>
          <w:lang w:eastAsia="en-GB"/>
        </w:rPr>
      </w:pPr>
    </w:p>
    <w:p w14:paraId="3930E110" w14:textId="141B843A" w:rsidR="00BB51C3" w:rsidRDefault="00B17DD6" w:rsidP="00BB51C3">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seems likely that the government’s proposed approach to the re-investigation of cases will provide a much greater degree of equity and fairness tha</w:t>
      </w:r>
      <w:r w:rsidR="00442436">
        <w:rPr>
          <w:rFonts w:ascii="Arial" w:eastAsia="Times New Roman" w:hAnsi="Arial" w:cs="Arial"/>
          <w:color w:val="000000"/>
          <w:sz w:val="24"/>
          <w:szCs w:val="24"/>
          <w:lang w:eastAsia="en-GB"/>
        </w:rPr>
        <w:t>n</w:t>
      </w:r>
      <w:r>
        <w:rPr>
          <w:rFonts w:ascii="Arial" w:eastAsia="Times New Roman" w:hAnsi="Arial" w:cs="Arial"/>
          <w:color w:val="000000"/>
          <w:sz w:val="24"/>
          <w:szCs w:val="24"/>
          <w:lang w:eastAsia="en-GB"/>
        </w:rPr>
        <w:t xml:space="preserve"> the present arrangements. For far too long the criminal justice process has been used and abused as a vehicle for investigating and re-investigating allegations which are based on no more than propaganda, hearsay and vague insinuations. </w:t>
      </w:r>
      <w:r w:rsidR="00BB51C3">
        <w:rPr>
          <w:rFonts w:ascii="Arial" w:eastAsia="Times New Roman" w:hAnsi="Arial" w:cs="Arial"/>
          <w:color w:val="000000"/>
          <w:sz w:val="24"/>
          <w:szCs w:val="24"/>
          <w:lang w:eastAsia="en-GB"/>
        </w:rPr>
        <w:t xml:space="preserve">There was no apparent requirement to form a reasonable suspicion about the conduct of any person. </w:t>
      </w:r>
      <w:r>
        <w:rPr>
          <w:rFonts w:ascii="Arial" w:eastAsia="Times New Roman" w:hAnsi="Arial" w:cs="Arial"/>
          <w:color w:val="000000"/>
          <w:sz w:val="24"/>
          <w:szCs w:val="24"/>
          <w:lang w:eastAsia="en-GB"/>
        </w:rPr>
        <w:t xml:space="preserve">Police investigative powers have been used to inquire into matters in which no substantive </w:t>
      </w:r>
      <w:r>
        <w:rPr>
          <w:rFonts w:ascii="Arial" w:eastAsia="Times New Roman" w:hAnsi="Arial" w:cs="Arial"/>
          <w:color w:val="000000"/>
          <w:sz w:val="24"/>
          <w:szCs w:val="24"/>
          <w:lang w:eastAsia="en-GB"/>
        </w:rPr>
        <w:lastRenderedPageBreak/>
        <w:t>criminal offence was reasonably suspected</w:t>
      </w:r>
      <w:r w:rsidR="00BB51C3">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and yet when a</w:t>
      </w:r>
      <w:r w:rsidR="00BB51C3">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’suspect’</w:t>
      </w:r>
      <w:r w:rsidR="00BB51C3">
        <w:rPr>
          <w:rFonts w:ascii="Arial" w:eastAsia="Times New Roman" w:hAnsi="Arial" w:cs="Arial"/>
          <w:color w:val="000000"/>
          <w:sz w:val="24"/>
          <w:szCs w:val="24"/>
          <w:lang w:eastAsia="en-GB"/>
        </w:rPr>
        <w:t xml:space="preserve"> (a member or ex-member of the security forces) was identified, the usual protections afforded to an accused person in law (for example under the provisions of the Police and Criminal Evidence Act and even under ECHR) were manifestly absent.</w:t>
      </w:r>
    </w:p>
    <w:p w14:paraId="0DE69718" w14:textId="77777777" w:rsidR="00BB51C3" w:rsidRDefault="00BB51C3" w:rsidP="00BB51C3">
      <w:pPr>
        <w:widowControl/>
        <w:spacing w:after="120"/>
        <w:ind w:left="-340" w:right="680"/>
        <w:contextualSpacing/>
        <w:jc w:val="both"/>
        <w:rPr>
          <w:rFonts w:ascii="Arial" w:eastAsia="Times New Roman" w:hAnsi="Arial" w:cs="Arial"/>
          <w:color w:val="000000"/>
          <w:sz w:val="24"/>
          <w:szCs w:val="24"/>
          <w:lang w:eastAsia="en-GB"/>
        </w:rPr>
      </w:pPr>
    </w:p>
    <w:p w14:paraId="66688F3C" w14:textId="72F13419" w:rsidR="005749F9" w:rsidRDefault="00BB51C3" w:rsidP="00BB51C3">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is also notable that the </w:t>
      </w:r>
      <w:r w:rsidR="0070557B">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overnment’s proposals seek to deliver investigations which are effective, thorough and quick, in that only cases in which there is a realistic prospect of a prosecution as a result of there being new and compelling evidence would proceed to a full police investigation. Other cases in which an investigation had already taken place would be regarded as being closed to further investigation. We welcome these new parameters.</w:t>
      </w:r>
      <w:r w:rsidR="004E3AF1">
        <w:rPr>
          <w:rFonts w:ascii="Arial" w:eastAsia="Times New Roman" w:hAnsi="Arial" w:cs="Arial"/>
          <w:color w:val="000000"/>
          <w:sz w:val="24"/>
          <w:szCs w:val="24"/>
          <w:lang w:eastAsia="en-GB"/>
        </w:rPr>
        <w:t xml:space="preserve"> We suggest that the </w:t>
      </w:r>
      <w:r w:rsidR="00107ADD">
        <w:rPr>
          <w:rFonts w:ascii="Arial" w:eastAsia="Times New Roman" w:hAnsi="Arial" w:cs="Arial"/>
          <w:color w:val="000000"/>
          <w:sz w:val="24"/>
          <w:szCs w:val="24"/>
          <w:lang w:eastAsia="en-GB"/>
        </w:rPr>
        <w:t>G</w:t>
      </w:r>
      <w:r w:rsidR="004E3AF1">
        <w:rPr>
          <w:rFonts w:ascii="Arial" w:eastAsia="Times New Roman" w:hAnsi="Arial" w:cs="Arial"/>
          <w:color w:val="000000"/>
          <w:sz w:val="24"/>
          <w:szCs w:val="24"/>
          <w:lang w:eastAsia="en-GB"/>
        </w:rPr>
        <w:t>overnment seek at the same time to close off avenues for civil actions which might be based on similarly vague claims or which seek to ‘piggy-back’ off unwarranted investigations.</w:t>
      </w:r>
    </w:p>
    <w:p w14:paraId="629FCDCE" w14:textId="27A73413" w:rsidR="004E3AF1" w:rsidRDefault="004E3AF1" w:rsidP="00BB51C3">
      <w:pPr>
        <w:widowControl/>
        <w:spacing w:after="120"/>
        <w:ind w:left="-340" w:right="680"/>
        <w:contextualSpacing/>
        <w:jc w:val="both"/>
        <w:rPr>
          <w:rFonts w:ascii="Arial" w:eastAsia="Times New Roman" w:hAnsi="Arial" w:cs="Arial"/>
          <w:color w:val="000000"/>
          <w:sz w:val="24"/>
          <w:szCs w:val="24"/>
          <w:lang w:eastAsia="en-GB"/>
        </w:rPr>
      </w:pPr>
    </w:p>
    <w:p w14:paraId="54858761" w14:textId="425441FF" w:rsidR="004E3AF1" w:rsidRDefault="004E3AF1" w:rsidP="00BB51C3">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pursuing this laudable path the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 xml:space="preserve">overnment should carefully consider case law and referrals under ECHR. We consider it to be one of the great ironies of ECHR that on the one hand it purports to prohibit </w:t>
      </w:r>
      <w:r w:rsidR="0018452B" w:rsidRPr="00AC5D81">
        <w:rPr>
          <w:rFonts w:ascii="Arial" w:eastAsia="Times New Roman" w:hAnsi="Arial" w:cs="Arial"/>
          <w:color w:val="000000"/>
          <w:sz w:val="24"/>
          <w:szCs w:val="24"/>
          <w:lang w:eastAsia="en-GB"/>
        </w:rPr>
        <w:t xml:space="preserve">the </w:t>
      </w:r>
      <w:r w:rsidRPr="00AC5D81">
        <w:rPr>
          <w:rFonts w:ascii="Arial" w:eastAsia="Times New Roman" w:hAnsi="Arial" w:cs="Arial"/>
          <w:color w:val="000000"/>
          <w:sz w:val="24"/>
          <w:szCs w:val="24"/>
          <w:lang w:eastAsia="en-GB"/>
        </w:rPr>
        <w:t>sanctioning</w:t>
      </w:r>
      <w:r w:rsidR="0018452B" w:rsidRPr="00AC5D81">
        <w:rPr>
          <w:rFonts w:ascii="Arial" w:eastAsia="Times New Roman" w:hAnsi="Arial" w:cs="Arial"/>
          <w:color w:val="000000"/>
          <w:sz w:val="24"/>
          <w:szCs w:val="24"/>
          <w:lang w:eastAsia="en-GB"/>
        </w:rPr>
        <w:t xml:space="preserve"> of</w:t>
      </w:r>
      <w:r w:rsidRPr="00AC5D81">
        <w:rPr>
          <w:rFonts w:ascii="Arial" w:eastAsia="Times New Roman" w:hAnsi="Arial" w:cs="Arial"/>
          <w:color w:val="000000"/>
          <w:sz w:val="24"/>
          <w:szCs w:val="24"/>
          <w:lang w:eastAsia="en-GB"/>
        </w:rPr>
        <w:t xml:space="preserve"> behaviour which, at the time when it took place, was entirely lawful (prohibition on retrospective liability</w:t>
      </w:r>
      <w:r w:rsidR="00D2554C" w:rsidRPr="00AC5D81">
        <w:rPr>
          <w:rFonts w:ascii="Arial" w:eastAsia="Times New Roman" w:hAnsi="Arial" w:cs="Arial"/>
          <w:color w:val="000000"/>
          <w:sz w:val="24"/>
          <w:szCs w:val="24"/>
          <w:lang w:eastAsia="en-GB"/>
        </w:rPr>
        <w:t xml:space="preserve"> and the guarantee of legal certainty</w:t>
      </w:r>
      <w:r w:rsidRPr="00AC5D81">
        <w:rPr>
          <w:rFonts w:ascii="Arial" w:eastAsia="Times New Roman" w:hAnsi="Arial" w:cs="Arial"/>
          <w:color w:val="000000"/>
          <w:sz w:val="24"/>
          <w:szCs w:val="24"/>
          <w:lang w:eastAsia="en-GB"/>
        </w:rPr>
        <w:t xml:space="preserve">) and yet in the UK we seem to treat cases going back </w:t>
      </w:r>
      <w:r w:rsidR="00D2554C" w:rsidRPr="00AC5D81">
        <w:rPr>
          <w:rFonts w:ascii="Arial" w:eastAsia="Times New Roman" w:hAnsi="Arial" w:cs="Arial"/>
          <w:color w:val="000000"/>
          <w:sz w:val="24"/>
          <w:szCs w:val="24"/>
          <w:lang w:eastAsia="en-GB"/>
        </w:rPr>
        <w:t xml:space="preserve">decades </w:t>
      </w:r>
      <w:r w:rsidRPr="00AC5D81">
        <w:rPr>
          <w:rFonts w:ascii="Arial" w:eastAsia="Times New Roman" w:hAnsi="Arial" w:cs="Arial"/>
          <w:color w:val="000000"/>
          <w:sz w:val="24"/>
          <w:szCs w:val="24"/>
          <w:lang w:eastAsia="en-GB"/>
        </w:rPr>
        <w:t>before the passing of the Human</w:t>
      </w:r>
      <w:r>
        <w:rPr>
          <w:rFonts w:ascii="Arial" w:eastAsia="Times New Roman" w:hAnsi="Arial" w:cs="Arial"/>
          <w:color w:val="000000"/>
          <w:sz w:val="24"/>
          <w:szCs w:val="24"/>
          <w:lang w:eastAsia="en-GB"/>
        </w:rPr>
        <w:t xml:space="preserve"> Rights Act 2000 (HRA) as being somehow subject to the provisions of ECHR.</w:t>
      </w:r>
    </w:p>
    <w:p w14:paraId="27786C67" w14:textId="51E37A18" w:rsidR="004E3AF1" w:rsidRDefault="004E3AF1" w:rsidP="00BB51C3">
      <w:pPr>
        <w:widowControl/>
        <w:spacing w:after="120"/>
        <w:ind w:left="-340" w:right="680"/>
        <w:contextualSpacing/>
        <w:jc w:val="both"/>
        <w:rPr>
          <w:rFonts w:ascii="Arial" w:eastAsia="Times New Roman" w:hAnsi="Arial" w:cs="Arial"/>
          <w:color w:val="000000"/>
          <w:sz w:val="24"/>
          <w:szCs w:val="24"/>
          <w:lang w:eastAsia="en-GB"/>
        </w:rPr>
      </w:pPr>
    </w:p>
    <w:p w14:paraId="7F2061CD" w14:textId="125DC7B6" w:rsidR="00A81F4C" w:rsidRDefault="004E3AF1" w:rsidP="00BB51C3">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Whilst some case law m</w:t>
      </w:r>
      <w:r w:rsidR="00A81F4C">
        <w:rPr>
          <w:rFonts w:ascii="Arial" w:eastAsia="Times New Roman" w:hAnsi="Arial" w:cs="Arial"/>
          <w:color w:val="000000"/>
          <w:sz w:val="24"/>
          <w:szCs w:val="24"/>
          <w:lang w:eastAsia="en-GB"/>
        </w:rPr>
        <w:t>ight</w:t>
      </w:r>
      <w:r>
        <w:rPr>
          <w:rFonts w:ascii="Arial" w:eastAsia="Times New Roman" w:hAnsi="Arial" w:cs="Arial"/>
          <w:color w:val="000000"/>
          <w:sz w:val="24"/>
          <w:szCs w:val="24"/>
          <w:lang w:eastAsia="en-GB"/>
        </w:rPr>
        <w:t xml:space="preserve"> </w:t>
      </w:r>
      <w:r w:rsidR="00A81F4C">
        <w:rPr>
          <w:rFonts w:ascii="Arial" w:eastAsia="Times New Roman" w:hAnsi="Arial" w:cs="Arial"/>
          <w:color w:val="000000"/>
          <w:sz w:val="24"/>
          <w:szCs w:val="24"/>
          <w:lang w:eastAsia="en-GB"/>
        </w:rPr>
        <w:t xml:space="preserve">now </w:t>
      </w:r>
      <w:r>
        <w:rPr>
          <w:rFonts w:ascii="Arial" w:eastAsia="Times New Roman" w:hAnsi="Arial" w:cs="Arial"/>
          <w:color w:val="000000"/>
          <w:sz w:val="24"/>
          <w:szCs w:val="24"/>
          <w:lang w:eastAsia="en-GB"/>
        </w:rPr>
        <w:t xml:space="preserve">be challenging this assumption, the </w:t>
      </w:r>
      <w:r w:rsidR="00107ADD">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overnment may wish</w:t>
      </w:r>
      <w:r w:rsidR="00A81F4C">
        <w:rPr>
          <w:rFonts w:ascii="Arial" w:eastAsia="Times New Roman" w:hAnsi="Arial" w:cs="Arial"/>
          <w:color w:val="000000"/>
          <w:sz w:val="24"/>
          <w:szCs w:val="24"/>
          <w:lang w:eastAsia="en-GB"/>
        </w:rPr>
        <w:t xml:space="preserve"> to avoid the political risk which would be inherent in introducing a cut-off date (of 2</w:t>
      </w:r>
      <w:r w:rsidR="00A81F4C" w:rsidRPr="00A81F4C">
        <w:rPr>
          <w:rFonts w:ascii="Arial" w:eastAsia="Times New Roman" w:hAnsi="Arial" w:cs="Arial"/>
          <w:color w:val="000000"/>
          <w:sz w:val="24"/>
          <w:szCs w:val="24"/>
          <w:vertAlign w:val="superscript"/>
          <w:lang w:eastAsia="en-GB"/>
        </w:rPr>
        <w:t>nd</w:t>
      </w:r>
      <w:r w:rsidR="00A81F4C">
        <w:rPr>
          <w:rFonts w:ascii="Arial" w:eastAsia="Times New Roman" w:hAnsi="Arial" w:cs="Arial"/>
          <w:color w:val="000000"/>
          <w:sz w:val="24"/>
          <w:szCs w:val="24"/>
          <w:lang w:eastAsia="en-GB"/>
        </w:rPr>
        <w:t xml:space="preserve"> October 2000)</w:t>
      </w:r>
      <w:r>
        <w:rPr>
          <w:rFonts w:ascii="Arial" w:eastAsia="Times New Roman" w:hAnsi="Arial" w:cs="Arial"/>
          <w:color w:val="000000"/>
          <w:sz w:val="24"/>
          <w:szCs w:val="24"/>
          <w:lang w:eastAsia="en-GB"/>
        </w:rPr>
        <w:t xml:space="preserve"> </w:t>
      </w:r>
      <w:r w:rsidR="00A81F4C">
        <w:rPr>
          <w:rFonts w:ascii="Arial" w:eastAsia="Times New Roman" w:hAnsi="Arial" w:cs="Arial"/>
          <w:color w:val="000000"/>
          <w:sz w:val="24"/>
          <w:szCs w:val="24"/>
          <w:lang w:eastAsia="en-GB"/>
        </w:rPr>
        <w:t>this late in the day and</w:t>
      </w:r>
      <w:r>
        <w:rPr>
          <w:rFonts w:ascii="Arial" w:eastAsia="Times New Roman" w:hAnsi="Arial" w:cs="Arial"/>
          <w:color w:val="000000"/>
          <w:sz w:val="24"/>
          <w:szCs w:val="24"/>
          <w:lang w:eastAsia="en-GB"/>
        </w:rPr>
        <w:t xml:space="preserve"> </w:t>
      </w:r>
      <w:r w:rsidR="00A81F4C">
        <w:rPr>
          <w:rFonts w:ascii="Arial" w:eastAsia="Times New Roman" w:hAnsi="Arial" w:cs="Arial"/>
          <w:color w:val="000000"/>
          <w:sz w:val="24"/>
          <w:szCs w:val="24"/>
          <w:lang w:eastAsia="en-GB"/>
        </w:rPr>
        <w:t xml:space="preserve">instead </w:t>
      </w:r>
      <w:r>
        <w:rPr>
          <w:rFonts w:ascii="Arial" w:eastAsia="Times New Roman" w:hAnsi="Arial" w:cs="Arial"/>
          <w:color w:val="000000"/>
          <w:sz w:val="24"/>
          <w:szCs w:val="24"/>
          <w:lang w:eastAsia="en-GB"/>
        </w:rPr>
        <w:t>consider proofing their legislation against certain challenges by</w:t>
      </w:r>
      <w:r w:rsidR="00A81F4C">
        <w:rPr>
          <w:rFonts w:ascii="Arial" w:eastAsia="Times New Roman" w:hAnsi="Arial" w:cs="Arial"/>
          <w:color w:val="000000"/>
          <w:sz w:val="24"/>
          <w:szCs w:val="24"/>
          <w:lang w:eastAsia="en-GB"/>
        </w:rPr>
        <w:t xml:space="preserve"> setting similar parameters for the courts when applications are made for new or renewed Article 2 investigations. In the same way that new and compelling evidence that might lead to the successful prosecution of an individual or individuals should be required to generate a new police investigation, so also should the prospect of new and compelling evidence that might lead to the overturning of a previous finding (for example by a coroner’s court or other judicial body) be required to generate a new Article 2 deliberation.</w:t>
      </w:r>
    </w:p>
    <w:p w14:paraId="1089A6C4" w14:textId="77777777" w:rsidR="00A81F4C" w:rsidRDefault="00A81F4C" w:rsidP="00BB51C3">
      <w:pPr>
        <w:widowControl/>
        <w:spacing w:after="120"/>
        <w:ind w:left="-340" w:right="680"/>
        <w:contextualSpacing/>
        <w:jc w:val="both"/>
        <w:rPr>
          <w:rFonts w:ascii="Arial" w:eastAsia="Times New Roman" w:hAnsi="Arial" w:cs="Arial"/>
          <w:color w:val="000000"/>
          <w:sz w:val="24"/>
          <w:szCs w:val="24"/>
          <w:lang w:eastAsia="en-GB"/>
        </w:rPr>
      </w:pPr>
    </w:p>
    <w:p w14:paraId="2BAF84FC" w14:textId="0EE3589E" w:rsidR="0006291A" w:rsidRDefault="000961CE" w:rsidP="0006291A">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relation to the actual investigation of cases we have set above out why we believe that this could properly be a matter for the LIB, which currently has some 1,130 cases as part of its workload. The LIB can provide a professional and, we say, impartial review and investigation service, abiding by case law and codes of conduct and with appropriate supervision and outside oversight as described. Time will be a critical factor as potential evidence further deteriorates and decisions on prioritisation will be necessary. Some cases will inevitably be permanently closed under the proposed criteria and some disappointment</w:t>
      </w:r>
      <w:r w:rsidR="00583CD9">
        <w:rPr>
          <w:rFonts w:ascii="Arial" w:eastAsia="Times New Roman" w:hAnsi="Arial" w:cs="Arial"/>
          <w:color w:val="000000"/>
          <w:sz w:val="24"/>
          <w:szCs w:val="24"/>
          <w:lang w:eastAsia="en-GB"/>
        </w:rPr>
        <w:t xml:space="preserve"> will be</w:t>
      </w:r>
      <w:r>
        <w:rPr>
          <w:rFonts w:ascii="Arial" w:eastAsia="Times New Roman" w:hAnsi="Arial" w:cs="Arial"/>
          <w:color w:val="000000"/>
          <w:sz w:val="24"/>
          <w:szCs w:val="24"/>
          <w:lang w:eastAsia="en-GB"/>
        </w:rPr>
        <w:t xml:space="preserve"> generated. Nevertheless we believe that this can be done systematically and equitably</w:t>
      </w:r>
      <w:r w:rsidR="00603976">
        <w:rPr>
          <w:rFonts w:ascii="Arial" w:eastAsia="Times New Roman" w:hAnsi="Arial" w:cs="Arial"/>
          <w:color w:val="000000"/>
          <w:sz w:val="24"/>
          <w:szCs w:val="24"/>
          <w:lang w:eastAsia="en-GB"/>
        </w:rPr>
        <w:t>; and even some of those who may end up feeling let down might accept the rationale behind the decisions.</w:t>
      </w:r>
    </w:p>
    <w:p w14:paraId="5AE1ADB9"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0E4AA333" w14:textId="77777777" w:rsidR="0006291A" w:rsidRDefault="0006291A" w:rsidP="0006291A">
      <w:pPr>
        <w:widowControl/>
        <w:spacing w:after="120"/>
        <w:ind w:left="-340" w:right="680"/>
        <w:contextualSpacing/>
        <w:jc w:val="both"/>
        <w:rPr>
          <w:rFonts w:ascii="Arial" w:eastAsia="Times New Roman" w:hAnsi="Arial" w:cs="Arial"/>
          <w:color w:val="000000"/>
          <w:sz w:val="24"/>
          <w:szCs w:val="24"/>
          <w:lang w:eastAsia="en-GB"/>
        </w:rPr>
      </w:pPr>
    </w:p>
    <w:p w14:paraId="633FEFCC" w14:textId="1ED28BD1" w:rsidR="00744176" w:rsidRPr="0006291A" w:rsidRDefault="00744176" w:rsidP="0006291A">
      <w:pPr>
        <w:widowControl/>
        <w:spacing w:after="120"/>
        <w:ind w:left="-340" w:right="680"/>
        <w:contextualSpacing/>
        <w:jc w:val="both"/>
        <w:rPr>
          <w:rFonts w:ascii="Arial" w:eastAsia="Times New Roman" w:hAnsi="Arial" w:cs="Arial"/>
          <w:color w:val="000000"/>
          <w:sz w:val="24"/>
          <w:szCs w:val="24"/>
          <w:u w:val="single"/>
          <w:lang w:eastAsia="en-GB"/>
        </w:rPr>
      </w:pPr>
      <w:r w:rsidRPr="0006291A">
        <w:rPr>
          <w:rFonts w:ascii="Arial" w:eastAsia="Times New Roman" w:hAnsi="Arial" w:cs="Arial"/>
          <w:i/>
          <w:iCs/>
          <w:sz w:val="24"/>
          <w:szCs w:val="24"/>
          <w:u w:val="single"/>
          <w:lang w:eastAsia="en-GB"/>
        </w:rPr>
        <w:t>What legislative steps the Government can take to address what have been described as vexatious claims against veterans</w:t>
      </w:r>
    </w:p>
    <w:p w14:paraId="1DBA5DEA" w14:textId="3A9050F6" w:rsidR="00166515" w:rsidRPr="00C654AD" w:rsidRDefault="00166515" w:rsidP="00166515">
      <w:pPr>
        <w:widowControl/>
        <w:spacing w:after="120"/>
        <w:ind w:left="-340" w:right="680"/>
        <w:contextualSpacing/>
        <w:jc w:val="both"/>
        <w:rPr>
          <w:rFonts w:ascii="Arial" w:eastAsia="Times New Roman" w:hAnsi="Arial" w:cs="Arial"/>
          <w:sz w:val="24"/>
          <w:szCs w:val="24"/>
          <w:lang w:eastAsia="en-GB"/>
        </w:rPr>
      </w:pPr>
    </w:p>
    <w:p w14:paraId="4D7EAE41" w14:textId="45052BF5" w:rsidR="00872132" w:rsidRDefault="0064618E"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Association does not represent military veterans; but as individuals many of us had a professional relationship with such men and women and continue to have friendships</w:t>
      </w:r>
      <w:r w:rsidR="00F65D5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while collectively we sympathise with the legal predicament in which some of them find themselves.</w:t>
      </w:r>
      <w:r w:rsidR="00C654AD">
        <w:rPr>
          <w:rFonts w:ascii="Arial" w:eastAsia="Times New Roman" w:hAnsi="Arial" w:cs="Arial"/>
          <w:color w:val="000000"/>
          <w:sz w:val="24"/>
          <w:szCs w:val="24"/>
          <w:lang w:eastAsia="en-GB"/>
        </w:rPr>
        <w:t xml:space="preserve"> Their case has been ably made elsewhere and it now looks as though there is some recognition at the level of political decision-makers of the need for </w:t>
      </w:r>
      <w:r w:rsidR="00013177">
        <w:rPr>
          <w:rFonts w:ascii="Arial" w:eastAsia="Times New Roman" w:hAnsi="Arial" w:cs="Arial"/>
          <w:color w:val="000000"/>
          <w:sz w:val="24"/>
          <w:szCs w:val="24"/>
          <w:lang w:eastAsia="en-GB"/>
        </w:rPr>
        <w:t xml:space="preserve">Government </w:t>
      </w:r>
      <w:r w:rsidR="00C654AD">
        <w:rPr>
          <w:rFonts w:ascii="Arial" w:eastAsia="Times New Roman" w:hAnsi="Arial" w:cs="Arial"/>
          <w:color w:val="000000"/>
          <w:sz w:val="24"/>
          <w:szCs w:val="24"/>
          <w:lang w:eastAsia="en-GB"/>
        </w:rPr>
        <w:t>action.</w:t>
      </w:r>
    </w:p>
    <w:p w14:paraId="4B5FE7E8" w14:textId="39509FC0" w:rsidR="00C654AD" w:rsidRDefault="00C654AD" w:rsidP="00166515">
      <w:pPr>
        <w:widowControl/>
        <w:spacing w:after="120"/>
        <w:ind w:left="-340" w:right="680"/>
        <w:contextualSpacing/>
        <w:jc w:val="both"/>
        <w:rPr>
          <w:rFonts w:ascii="Arial" w:eastAsia="Times New Roman" w:hAnsi="Arial" w:cs="Arial"/>
          <w:color w:val="000000"/>
          <w:sz w:val="24"/>
          <w:szCs w:val="24"/>
          <w:lang w:eastAsia="en-GB"/>
        </w:rPr>
      </w:pPr>
    </w:p>
    <w:p w14:paraId="650D54E0" w14:textId="242A22C8" w:rsidR="00C654AD" w:rsidRDefault="00C654AD"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As previously stated, we are of the view that nobody should be considered to be, or be treated as being, above the law. At the same time it is appropriate that the law should be applied and interpreted with a proper consideration for context where historical matters are being investigated. We do not think that it is right that men and women who were given a very brief explanation of the principles of the Criminal </w:t>
      </w:r>
      <w:r w:rsidR="00303B1E">
        <w:rPr>
          <w:rFonts w:ascii="Arial" w:eastAsia="Times New Roman" w:hAnsi="Arial" w:cs="Arial"/>
          <w:color w:val="000000"/>
          <w:sz w:val="24"/>
          <w:szCs w:val="24"/>
          <w:lang w:eastAsia="en-GB"/>
        </w:rPr>
        <w:t>Law</w:t>
      </w:r>
      <w:r>
        <w:rPr>
          <w:rFonts w:ascii="Arial" w:eastAsia="Times New Roman" w:hAnsi="Arial" w:cs="Arial"/>
          <w:color w:val="000000"/>
          <w:sz w:val="24"/>
          <w:szCs w:val="24"/>
          <w:lang w:eastAsia="en-GB"/>
        </w:rPr>
        <w:t xml:space="preserve"> Act 1967 as interpreted by the famous ‘yellow card’ should subsequently be held to account </w:t>
      </w:r>
      <w:r w:rsidR="00AB7CCD">
        <w:rPr>
          <w:rFonts w:ascii="Arial" w:eastAsia="Times New Roman" w:hAnsi="Arial" w:cs="Arial"/>
          <w:color w:val="000000"/>
          <w:sz w:val="24"/>
          <w:szCs w:val="24"/>
          <w:lang w:eastAsia="en-GB"/>
        </w:rPr>
        <w:t>according to the standards of</w:t>
      </w:r>
      <w:r>
        <w:rPr>
          <w:rFonts w:ascii="Arial" w:eastAsia="Times New Roman" w:hAnsi="Arial" w:cs="Arial"/>
          <w:color w:val="000000"/>
          <w:sz w:val="24"/>
          <w:szCs w:val="24"/>
          <w:lang w:eastAsia="en-GB"/>
        </w:rPr>
        <w:t xml:space="preserve"> later legislation and in particular </w:t>
      </w:r>
      <w:r w:rsidR="00AB7CCD">
        <w:rPr>
          <w:rFonts w:ascii="Arial" w:eastAsia="Times New Roman" w:hAnsi="Arial" w:cs="Arial"/>
          <w:color w:val="000000"/>
          <w:sz w:val="24"/>
          <w:szCs w:val="24"/>
          <w:lang w:eastAsia="en-GB"/>
        </w:rPr>
        <w:t>according to</w:t>
      </w:r>
      <w:r w:rsidR="00F65D56">
        <w:rPr>
          <w:rFonts w:ascii="Arial" w:eastAsia="Times New Roman" w:hAnsi="Arial" w:cs="Arial"/>
          <w:color w:val="000000"/>
          <w:sz w:val="24"/>
          <w:szCs w:val="24"/>
          <w:lang w:eastAsia="en-GB"/>
        </w:rPr>
        <w:t xml:space="preserve"> the</w:t>
      </w:r>
      <w:r w:rsidR="00AB7CCD">
        <w:rPr>
          <w:rFonts w:ascii="Arial" w:eastAsia="Times New Roman" w:hAnsi="Arial" w:cs="Arial"/>
          <w:color w:val="000000"/>
          <w:sz w:val="24"/>
          <w:szCs w:val="24"/>
          <w:lang w:eastAsia="en-GB"/>
        </w:rPr>
        <w:t xml:space="preserve"> exacting</w:t>
      </w:r>
      <w:r>
        <w:rPr>
          <w:rFonts w:ascii="Arial" w:eastAsia="Times New Roman" w:hAnsi="Arial" w:cs="Arial"/>
          <w:color w:val="000000"/>
          <w:sz w:val="24"/>
          <w:szCs w:val="24"/>
          <w:lang w:eastAsia="en-GB"/>
        </w:rPr>
        <w:t xml:space="preserve"> </w:t>
      </w:r>
      <w:r w:rsidR="00303B1E">
        <w:rPr>
          <w:rFonts w:ascii="Arial" w:eastAsia="Times New Roman" w:hAnsi="Arial" w:cs="Arial"/>
          <w:color w:val="000000"/>
          <w:sz w:val="24"/>
          <w:szCs w:val="24"/>
          <w:lang w:eastAsia="en-GB"/>
        </w:rPr>
        <w:t xml:space="preserve">and retrospectively-imposed </w:t>
      </w:r>
      <w:r>
        <w:rPr>
          <w:rFonts w:ascii="Arial" w:eastAsia="Times New Roman" w:hAnsi="Arial" w:cs="Arial"/>
          <w:color w:val="000000"/>
          <w:sz w:val="24"/>
          <w:szCs w:val="24"/>
          <w:lang w:eastAsia="en-GB"/>
        </w:rPr>
        <w:t>provisions of ECHR.</w:t>
      </w:r>
    </w:p>
    <w:p w14:paraId="12AD864C" w14:textId="2605C4F0" w:rsidR="00AB7CCD" w:rsidRDefault="00AB7CCD" w:rsidP="00166515">
      <w:pPr>
        <w:widowControl/>
        <w:spacing w:after="120"/>
        <w:ind w:left="-340" w:right="680"/>
        <w:contextualSpacing/>
        <w:jc w:val="both"/>
        <w:rPr>
          <w:rFonts w:ascii="Arial" w:eastAsia="Times New Roman" w:hAnsi="Arial" w:cs="Arial"/>
          <w:color w:val="000000"/>
          <w:sz w:val="24"/>
          <w:szCs w:val="24"/>
          <w:lang w:eastAsia="en-GB"/>
        </w:rPr>
      </w:pPr>
    </w:p>
    <w:p w14:paraId="4660EEEC" w14:textId="06DE9EF7" w:rsidR="00AB7CCD" w:rsidRDefault="00AB7CCD"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These young men and women were operating from cramped bases and without adequate rest in conditions of extreme danger. Their comrades were blown up or shot in front of their eyes and rumours, sometimes true, of other atrocities abounded. They reacted </w:t>
      </w:r>
      <w:r w:rsidR="009F65A8">
        <w:rPr>
          <w:rFonts w:ascii="Arial" w:eastAsia="Times New Roman" w:hAnsi="Arial" w:cs="Arial"/>
          <w:color w:val="000000"/>
          <w:sz w:val="24"/>
          <w:szCs w:val="24"/>
          <w:lang w:eastAsia="en-GB"/>
        </w:rPr>
        <w:t xml:space="preserve">to events </w:t>
      </w:r>
      <w:r>
        <w:rPr>
          <w:rFonts w:ascii="Arial" w:eastAsia="Times New Roman" w:hAnsi="Arial" w:cs="Arial"/>
          <w:color w:val="000000"/>
          <w:sz w:val="24"/>
          <w:szCs w:val="24"/>
          <w:lang w:eastAsia="en-GB"/>
        </w:rPr>
        <w:t>on the spur of the moment on the basis of procedural and operational guidance which, whether or not in hindsight might appear to be adequate, was all they had. When they were involved in incidents they were debriefed and, dependent on the era and the nature of the incident, interview</w:t>
      </w:r>
      <w:r w:rsidR="009F65A8">
        <w:rPr>
          <w:rFonts w:ascii="Arial" w:eastAsia="Times New Roman" w:hAnsi="Arial" w:cs="Arial"/>
          <w:color w:val="000000"/>
          <w:sz w:val="24"/>
          <w:szCs w:val="24"/>
          <w:lang w:eastAsia="en-GB"/>
        </w:rPr>
        <w:t>ed</w:t>
      </w:r>
      <w:r>
        <w:rPr>
          <w:rFonts w:ascii="Arial" w:eastAsia="Times New Roman" w:hAnsi="Arial" w:cs="Arial"/>
          <w:color w:val="000000"/>
          <w:sz w:val="24"/>
          <w:szCs w:val="24"/>
          <w:lang w:eastAsia="en-GB"/>
        </w:rPr>
        <w:t xml:space="preserve"> by their supervising officers, the Royal Military Police </w:t>
      </w:r>
      <w:r w:rsidR="006239BF">
        <w:rPr>
          <w:rFonts w:ascii="Arial" w:eastAsia="Times New Roman" w:hAnsi="Arial" w:cs="Arial"/>
          <w:color w:val="000000"/>
          <w:sz w:val="24"/>
          <w:szCs w:val="24"/>
          <w:lang w:eastAsia="en-GB"/>
        </w:rPr>
        <w:t xml:space="preserve">(RMP) </w:t>
      </w:r>
      <w:r>
        <w:rPr>
          <w:rFonts w:ascii="Arial" w:eastAsia="Times New Roman" w:hAnsi="Arial" w:cs="Arial"/>
          <w:color w:val="000000"/>
          <w:sz w:val="24"/>
          <w:szCs w:val="24"/>
          <w:lang w:eastAsia="en-GB"/>
        </w:rPr>
        <w:t>or the R</w:t>
      </w:r>
      <w:r w:rsidR="006239BF">
        <w:rPr>
          <w:rFonts w:ascii="Arial" w:eastAsia="Times New Roman" w:hAnsi="Arial" w:cs="Arial"/>
          <w:color w:val="000000"/>
          <w:sz w:val="24"/>
          <w:szCs w:val="24"/>
          <w:lang w:eastAsia="en-GB"/>
        </w:rPr>
        <w:t>UC</w:t>
      </w:r>
      <w:r w:rsidR="00990846">
        <w:rPr>
          <w:rFonts w:ascii="Arial" w:eastAsia="Times New Roman" w:hAnsi="Arial" w:cs="Arial"/>
          <w:color w:val="000000"/>
          <w:sz w:val="24"/>
          <w:szCs w:val="24"/>
          <w:lang w:eastAsia="en-GB"/>
        </w:rPr>
        <w:t>GC</w:t>
      </w:r>
      <w:r>
        <w:rPr>
          <w:rFonts w:ascii="Arial" w:eastAsia="Times New Roman" w:hAnsi="Arial" w:cs="Arial"/>
          <w:color w:val="000000"/>
          <w:sz w:val="24"/>
          <w:szCs w:val="24"/>
          <w:lang w:eastAsia="en-GB"/>
        </w:rPr>
        <w:t>. Note-making and record-keeping, if carried out at all, w</w:t>
      </w:r>
      <w:r w:rsidR="00DD688F">
        <w:rPr>
          <w:rFonts w:ascii="Arial" w:eastAsia="Times New Roman" w:hAnsi="Arial" w:cs="Arial"/>
          <w:color w:val="000000"/>
          <w:sz w:val="24"/>
          <w:szCs w:val="24"/>
          <w:lang w:eastAsia="en-GB"/>
        </w:rPr>
        <w:t>as</w:t>
      </w:r>
      <w:r>
        <w:rPr>
          <w:rFonts w:ascii="Arial" w:eastAsia="Times New Roman" w:hAnsi="Arial" w:cs="Arial"/>
          <w:color w:val="000000"/>
          <w:sz w:val="24"/>
          <w:szCs w:val="24"/>
          <w:lang w:eastAsia="en-GB"/>
        </w:rPr>
        <w:t xml:space="preserve"> a secondary consideration to getting on with the job in hand. In some cases they appeared in a criminal court or gave evidence to the Coroner’s Court.</w:t>
      </w:r>
      <w:r w:rsidR="009F65A8">
        <w:rPr>
          <w:rFonts w:ascii="Arial" w:eastAsia="Times New Roman" w:hAnsi="Arial" w:cs="Arial"/>
          <w:color w:val="000000"/>
          <w:sz w:val="24"/>
          <w:szCs w:val="24"/>
          <w:lang w:eastAsia="en-GB"/>
        </w:rPr>
        <w:t xml:space="preserve"> In many cases they were</w:t>
      </w:r>
      <w:r w:rsidR="00FF2F0D">
        <w:rPr>
          <w:rFonts w:ascii="Arial" w:eastAsia="Times New Roman" w:hAnsi="Arial" w:cs="Arial"/>
          <w:color w:val="000000"/>
          <w:sz w:val="24"/>
          <w:szCs w:val="24"/>
          <w:lang w:eastAsia="en-GB"/>
        </w:rPr>
        <w:t xml:space="preserve"> then</w:t>
      </w:r>
      <w:r w:rsidR="009F65A8">
        <w:rPr>
          <w:rFonts w:ascii="Arial" w:eastAsia="Times New Roman" w:hAnsi="Arial" w:cs="Arial"/>
          <w:color w:val="000000"/>
          <w:sz w:val="24"/>
          <w:szCs w:val="24"/>
          <w:lang w:eastAsia="en-GB"/>
        </w:rPr>
        <w:t xml:space="preserve"> told that </w:t>
      </w:r>
      <w:r w:rsidR="00303B1E">
        <w:rPr>
          <w:rFonts w:ascii="Arial" w:eastAsia="Times New Roman" w:hAnsi="Arial" w:cs="Arial"/>
          <w:color w:val="000000"/>
          <w:sz w:val="24"/>
          <w:szCs w:val="24"/>
          <w:lang w:eastAsia="en-GB"/>
        </w:rPr>
        <w:t xml:space="preserve">for them </w:t>
      </w:r>
      <w:r w:rsidR="009F65A8">
        <w:rPr>
          <w:rFonts w:ascii="Arial" w:eastAsia="Times New Roman" w:hAnsi="Arial" w:cs="Arial"/>
          <w:color w:val="000000"/>
          <w:sz w:val="24"/>
          <w:szCs w:val="24"/>
          <w:lang w:eastAsia="en-GB"/>
        </w:rPr>
        <w:t>the incident was closed.</w:t>
      </w:r>
    </w:p>
    <w:p w14:paraId="5FBC72FD" w14:textId="5B944354" w:rsidR="009F65A8" w:rsidRDefault="009F65A8" w:rsidP="00166515">
      <w:pPr>
        <w:widowControl/>
        <w:spacing w:after="120"/>
        <w:ind w:left="-340" w:right="680"/>
        <w:contextualSpacing/>
        <w:jc w:val="both"/>
        <w:rPr>
          <w:rFonts w:ascii="Arial" w:eastAsia="Times New Roman" w:hAnsi="Arial" w:cs="Arial"/>
          <w:color w:val="000000"/>
          <w:sz w:val="24"/>
          <w:szCs w:val="24"/>
          <w:lang w:eastAsia="en-GB"/>
        </w:rPr>
      </w:pPr>
    </w:p>
    <w:p w14:paraId="61E7CB2D" w14:textId="416E5AB5" w:rsidR="009F65A8" w:rsidRDefault="009F65A8" w:rsidP="00166515">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these circumstances it is hardly surprising that there is a growing outcry against renewed investigations and new prosecutions of long-retired soldiers who seem confused and distressed by these developments. Although it has been challenged in some quarters, there is also a widespread perception, with which we have some sympathy, that these people are being singled out for unfair treatment when others are being protected for political reasons.</w:t>
      </w:r>
    </w:p>
    <w:p w14:paraId="419AAD8B" w14:textId="66007487" w:rsidR="009F65A8" w:rsidRDefault="009F65A8" w:rsidP="00166515">
      <w:pPr>
        <w:widowControl/>
        <w:spacing w:after="120"/>
        <w:ind w:left="-340" w:right="680"/>
        <w:contextualSpacing/>
        <w:jc w:val="both"/>
        <w:rPr>
          <w:rFonts w:ascii="Arial" w:eastAsia="Times New Roman" w:hAnsi="Arial" w:cs="Arial"/>
          <w:color w:val="000000"/>
          <w:sz w:val="24"/>
          <w:szCs w:val="24"/>
          <w:lang w:eastAsia="en-GB"/>
        </w:rPr>
      </w:pPr>
    </w:p>
    <w:p w14:paraId="56E87CA5" w14:textId="7EE223B1" w:rsidR="001F67BC" w:rsidRDefault="00C025D5" w:rsidP="00CA08BA">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very delay also serves as a </w:t>
      </w:r>
      <w:r w:rsidR="00262F36">
        <w:rPr>
          <w:rFonts w:ascii="Arial" w:eastAsia="Times New Roman" w:hAnsi="Arial" w:cs="Arial"/>
          <w:color w:val="000000"/>
          <w:sz w:val="24"/>
          <w:szCs w:val="24"/>
          <w:lang w:eastAsia="en-GB"/>
        </w:rPr>
        <w:t>factor</w:t>
      </w:r>
      <w:r>
        <w:rPr>
          <w:rFonts w:ascii="Arial" w:eastAsia="Times New Roman" w:hAnsi="Arial" w:cs="Arial"/>
          <w:color w:val="000000"/>
          <w:sz w:val="24"/>
          <w:szCs w:val="24"/>
          <w:lang w:eastAsia="en-GB"/>
        </w:rPr>
        <w:t xml:space="preserve"> which exacerbates the discomfort of the veterans. Such records as were kept may no longer be available. Memory has faded. Military personnel who, unlike their police colleagues, were not trained in law and procedure, want to help investigators and </w:t>
      </w:r>
      <w:r w:rsidR="00303B1E">
        <w:rPr>
          <w:rFonts w:ascii="Arial" w:eastAsia="Times New Roman" w:hAnsi="Arial" w:cs="Arial"/>
          <w:color w:val="000000"/>
          <w:sz w:val="24"/>
          <w:szCs w:val="24"/>
          <w:lang w:eastAsia="en-GB"/>
        </w:rPr>
        <w:t xml:space="preserve">sometimes </w:t>
      </w:r>
      <w:r>
        <w:rPr>
          <w:rFonts w:ascii="Arial" w:eastAsia="Times New Roman" w:hAnsi="Arial" w:cs="Arial"/>
          <w:color w:val="000000"/>
          <w:sz w:val="24"/>
          <w:szCs w:val="24"/>
          <w:lang w:eastAsia="en-GB"/>
        </w:rPr>
        <w:t>end up saying things which they think the investigators want to hear because they simply cannot remember the relevant events clearly</w:t>
      </w:r>
      <w:r w:rsidR="00420BF7" w:rsidRPr="008D1442">
        <w:rPr>
          <w:rFonts w:ascii="Arial" w:eastAsia="Times New Roman" w:hAnsi="Arial" w:cs="Arial"/>
          <w:color w:val="000000"/>
          <w:sz w:val="24"/>
          <w:szCs w:val="24"/>
          <w:lang w:eastAsia="en-GB"/>
        </w:rPr>
        <w:t>,</w:t>
      </w:r>
      <w:r w:rsidRPr="008D1442">
        <w:rPr>
          <w:rFonts w:ascii="Arial" w:eastAsia="Times New Roman" w:hAnsi="Arial" w:cs="Arial"/>
          <w:color w:val="000000"/>
          <w:sz w:val="24"/>
          <w:szCs w:val="24"/>
          <w:lang w:eastAsia="en-GB"/>
        </w:rPr>
        <w:t xml:space="preserve"> i</w:t>
      </w:r>
      <w:r>
        <w:rPr>
          <w:rFonts w:ascii="Arial" w:eastAsia="Times New Roman" w:hAnsi="Arial" w:cs="Arial"/>
          <w:color w:val="000000"/>
          <w:sz w:val="24"/>
          <w:szCs w:val="24"/>
          <w:lang w:eastAsia="en-GB"/>
        </w:rPr>
        <w:t>f at all.</w:t>
      </w:r>
    </w:p>
    <w:p w14:paraId="718FF81E" w14:textId="77777777" w:rsidR="001F67BC" w:rsidRDefault="001F67BC" w:rsidP="00CA08BA">
      <w:pPr>
        <w:widowControl/>
        <w:spacing w:after="120"/>
        <w:ind w:left="-340" w:right="680"/>
        <w:contextualSpacing/>
        <w:jc w:val="both"/>
        <w:rPr>
          <w:rFonts w:ascii="Arial" w:eastAsia="Times New Roman" w:hAnsi="Arial" w:cs="Arial"/>
          <w:color w:val="000000"/>
          <w:sz w:val="24"/>
          <w:szCs w:val="24"/>
          <w:lang w:eastAsia="en-GB"/>
        </w:rPr>
      </w:pPr>
    </w:p>
    <w:p w14:paraId="3D722FA9" w14:textId="46EEEE22" w:rsidR="003C4B25" w:rsidRDefault="00C025D5" w:rsidP="00CA08BA">
      <w:pPr>
        <w:widowControl/>
        <w:spacing w:after="120"/>
        <w:ind w:left="-340" w:right="680"/>
        <w:contextualSpacing/>
        <w:jc w:val="both"/>
        <w:rPr>
          <w:rFonts w:ascii="Arial" w:eastAsia="Times New Roman" w:hAnsi="Arial" w:cs="Arial"/>
          <w:color w:val="000000"/>
          <w:sz w:val="24"/>
          <w:szCs w:val="24"/>
          <w:lang w:eastAsia="en-GB"/>
        </w:rPr>
      </w:pPr>
      <w:r w:rsidRPr="008D1442">
        <w:rPr>
          <w:rFonts w:ascii="Arial" w:eastAsia="Times New Roman" w:hAnsi="Arial" w:cs="Arial"/>
          <w:color w:val="000000"/>
          <w:sz w:val="24"/>
          <w:szCs w:val="24"/>
          <w:lang w:eastAsia="en-GB"/>
        </w:rPr>
        <w:t>Th</w:t>
      </w:r>
      <w:r w:rsidR="001F67BC" w:rsidRPr="008D1442">
        <w:rPr>
          <w:rFonts w:ascii="Arial" w:eastAsia="Times New Roman" w:hAnsi="Arial" w:cs="Arial"/>
          <w:color w:val="000000"/>
          <w:sz w:val="24"/>
          <w:szCs w:val="24"/>
          <w:lang w:eastAsia="en-GB"/>
        </w:rPr>
        <w:t>is</w:t>
      </w:r>
      <w:r w:rsidRPr="008D1442">
        <w:rPr>
          <w:rFonts w:ascii="Arial" w:eastAsia="Times New Roman" w:hAnsi="Arial" w:cs="Arial"/>
          <w:color w:val="000000"/>
          <w:sz w:val="24"/>
          <w:szCs w:val="24"/>
          <w:lang w:eastAsia="en-GB"/>
        </w:rPr>
        <w:t xml:space="preserve"> difficulty </w:t>
      </w:r>
      <w:r w:rsidR="001F67BC" w:rsidRPr="008D1442">
        <w:rPr>
          <w:rFonts w:ascii="Arial" w:eastAsia="Times New Roman" w:hAnsi="Arial" w:cs="Arial"/>
          <w:color w:val="000000"/>
          <w:sz w:val="24"/>
          <w:szCs w:val="24"/>
          <w:lang w:eastAsia="en-GB"/>
        </w:rPr>
        <w:t>might be highlighted in any court proceedings</w:t>
      </w:r>
      <w:r w:rsidRPr="008D1442">
        <w:rPr>
          <w:rFonts w:ascii="Arial" w:eastAsia="Times New Roman" w:hAnsi="Arial" w:cs="Arial"/>
          <w:color w:val="000000"/>
          <w:sz w:val="24"/>
          <w:szCs w:val="24"/>
          <w:lang w:eastAsia="en-GB"/>
        </w:rPr>
        <w:t xml:space="preserve"> in which members of the public </w:t>
      </w:r>
      <w:r w:rsidR="001F67BC" w:rsidRPr="008D1442">
        <w:rPr>
          <w:rFonts w:ascii="Arial" w:eastAsia="Times New Roman" w:hAnsi="Arial" w:cs="Arial"/>
          <w:color w:val="000000"/>
          <w:sz w:val="24"/>
          <w:szCs w:val="24"/>
          <w:lang w:eastAsia="en-GB"/>
        </w:rPr>
        <w:t>were able to produce</w:t>
      </w:r>
      <w:r w:rsidRPr="008D1442">
        <w:rPr>
          <w:rFonts w:ascii="Arial" w:eastAsia="Times New Roman" w:hAnsi="Arial" w:cs="Arial"/>
          <w:color w:val="000000"/>
          <w:sz w:val="24"/>
          <w:szCs w:val="24"/>
          <w:lang w:eastAsia="en-GB"/>
        </w:rPr>
        <w:t xml:space="preserve"> consistent and detailed recollection</w:t>
      </w:r>
      <w:r w:rsidR="00FF2F0D" w:rsidRPr="008D1442">
        <w:rPr>
          <w:rFonts w:ascii="Arial" w:eastAsia="Times New Roman" w:hAnsi="Arial" w:cs="Arial"/>
          <w:color w:val="000000"/>
          <w:sz w:val="24"/>
          <w:szCs w:val="24"/>
          <w:lang w:eastAsia="en-GB"/>
        </w:rPr>
        <w:t>s</w:t>
      </w:r>
      <w:r w:rsidRPr="008D1442">
        <w:rPr>
          <w:rFonts w:ascii="Arial" w:eastAsia="Times New Roman" w:hAnsi="Arial" w:cs="Arial"/>
          <w:color w:val="000000"/>
          <w:sz w:val="24"/>
          <w:szCs w:val="24"/>
          <w:lang w:eastAsia="en-GB"/>
        </w:rPr>
        <w:t xml:space="preserve"> of </w:t>
      </w:r>
      <w:r w:rsidR="00303B1E" w:rsidRPr="008D1442">
        <w:rPr>
          <w:rFonts w:ascii="Arial" w:eastAsia="Times New Roman" w:hAnsi="Arial" w:cs="Arial"/>
          <w:color w:val="000000"/>
          <w:sz w:val="24"/>
          <w:szCs w:val="24"/>
          <w:lang w:eastAsia="en-GB"/>
        </w:rPr>
        <w:t xml:space="preserve">controversial and complicated </w:t>
      </w:r>
      <w:r w:rsidRPr="008D1442">
        <w:rPr>
          <w:rFonts w:ascii="Arial" w:eastAsia="Times New Roman" w:hAnsi="Arial" w:cs="Arial"/>
          <w:color w:val="000000"/>
          <w:sz w:val="24"/>
          <w:szCs w:val="24"/>
          <w:lang w:eastAsia="en-GB"/>
        </w:rPr>
        <w:t>events</w:t>
      </w:r>
      <w:r w:rsidR="00FF2F0D" w:rsidRPr="008D1442">
        <w:rPr>
          <w:rFonts w:ascii="Arial" w:eastAsia="Times New Roman" w:hAnsi="Arial" w:cs="Arial"/>
          <w:color w:val="000000"/>
          <w:sz w:val="24"/>
          <w:szCs w:val="24"/>
          <w:lang w:eastAsia="en-GB"/>
        </w:rPr>
        <w:t xml:space="preserve"> of nearly fifty years ago</w:t>
      </w:r>
      <w:r w:rsidRPr="008D1442">
        <w:rPr>
          <w:rFonts w:ascii="Arial" w:eastAsia="Times New Roman" w:hAnsi="Arial" w:cs="Arial"/>
          <w:color w:val="000000"/>
          <w:sz w:val="24"/>
          <w:szCs w:val="24"/>
          <w:lang w:eastAsia="en-GB"/>
        </w:rPr>
        <w:t xml:space="preserve">, while the soldiers involved stumbled and contradicted themselves and each other. </w:t>
      </w:r>
      <w:r w:rsidR="001F67BC" w:rsidRPr="008D1442">
        <w:rPr>
          <w:rFonts w:ascii="Arial" w:eastAsia="Times New Roman" w:hAnsi="Arial" w:cs="Arial"/>
          <w:color w:val="000000"/>
          <w:sz w:val="24"/>
          <w:szCs w:val="24"/>
          <w:lang w:eastAsia="en-GB"/>
        </w:rPr>
        <w:t xml:space="preserve">Unless the court or coroner were familiar with </w:t>
      </w:r>
      <w:r w:rsidR="00303B1E" w:rsidRPr="008D1442">
        <w:rPr>
          <w:rFonts w:ascii="Arial" w:eastAsia="Times New Roman" w:hAnsi="Arial" w:cs="Arial"/>
          <w:color w:val="000000"/>
          <w:sz w:val="24"/>
          <w:szCs w:val="24"/>
          <w:lang w:eastAsia="en-GB"/>
        </w:rPr>
        <w:t>the findings of</w:t>
      </w:r>
      <w:r w:rsidRPr="008D1442">
        <w:rPr>
          <w:rFonts w:ascii="Arial" w:eastAsia="Times New Roman" w:hAnsi="Arial" w:cs="Arial"/>
          <w:color w:val="000000"/>
          <w:sz w:val="24"/>
          <w:szCs w:val="24"/>
          <w:lang w:eastAsia="en-GB"/>
        </w:rPr>
        <w:t xml:space="preserve"> the current received professional scientific</w:t>
      </w:r>
      <w:r w:rsidR="00FF2F0D" w:rsidRPr="008D1442">
        <w:rPr>
          <w:rFonts w:ascii="Arial" w:eastAsia="Times New Roman" w:hAnsi="Arial" w:cs="Arial"/>
          <w:color w:val="000000"/>
          <w:sz w:val="24"/>
          <w:szCs w:val="24"/>
          <w:lang w:eastAsia="en-GB"/>
        </w:rPr>
        <w:t xml:space="preserve"> peer-reviewed</w:t>
      </w:r>
      <w:r w:rsidRPr="008D1442">
        <w:rPr>
          <w:rFonts w:ascii="Arial" w:eastAsia="Times New Roman" w:hAnsi="Arial" w:cs="Arial"/>
          <w:color w:val="000000"/>
          <w:sz w:val="24"/>
          <w:szCs w:val="24"/>
          <w:lang w:eastAsia="en-GB"/>
        </w:rPr>
        <w:t xml:space="preserve"> </w:t>
      </w:r>
      <w:r w:rsidR="00303B1E" w:rsidRPr="008D1442">
        <w:rPr>
          <w:rFonts w:ascii="Arial" w:eastAsia="Times New Roman" w:hAnsi="Arial" w:cs="Arial"/>
          <w:color w:val="000000"/>
          <w:sz w:val="24"/>
          <w:szCs w:val="24"/>
          <w:lang w:eastAsia="en-GB"/>
        </w:rPr>
        <w:t>research</w:t>
      </w:r>
      <w:r w:rsidR="000B7690" w:rsidRPr="008D1442">
        <w:rPr>
          <w:rFonts w:ascii="Arial" w:eastAsia="Times New Roman" w:hAnsi="Arial" w:cs="Arial"/>
          <w:color w:val="000000"/>
          <w:sz w:val="24"/>
          <w:szCs w:val="24"/>
          <w:lang w:eastAsia="en-GB"/>
        </w:rPr>
        <w:t xml:space="preserve"> on memory, this </w:t>
      </w:r>
      <w:r w:rsidR="00FF2F0D" w:rsidRPr="008D1442">
        <w:rPr>
          <w:rFonts w:ascii="Arial" w:eastAsia="Times New Roman" w:hAnsi="Arial" w:cs="Arial"/>
          <w:color w:val="000000"/>
          <w:sz w:val="24"/>
          <w:szCs w:val="24"/>
          <w:lang w:eastAsia="en-GB"/>
        </w:rPr>
        <w:t xml:space="preserve">discrepancy </w:t>
      </w:r>
      <w:r w:rsidR="001F67BC" w:rsidRPr="008D1442">
        <w:rPr>
          <w:rFonts w:ascii="Arial" w:eastAsia="Times New Roman" w:hAnsi="Arial" w:cs="Arial"/>
          <w:color w:val="000000"/>
          <w:sz w:val="24"/>
          <w:szCs w:val="24"/>
          <w:lang w:eastAsia="en-GB"/>
        </w:rPr>
        <w:t>might be</w:t>
      </w:r>
      <w:r w:rsidR="000B7690" w:rsidRPr="008D1442">
        <w:rPr>
          <w:rFonts w:ascii="Arial" w:eastAsia="Times New Roman" w:hAnsi="Arial" w:cs="Arial"/>
          <w:color w:val="000000"/>
          <w:sz w:val="24"/>
          <w:szCs w:val="24"/>
          <w:lang w:eastAsia="en-GB"/>
        </w:rPr>
        <w:t xml:space="preserve"> taken</w:t>
      </w:r>
      <w:r w:rsidR="00FF2F0D" w:rsidRPr="008D1442">
        <w:rPr>
          <w:rFonts w:ascii="Arial" w:eastAsia="Times New Roman" w:hAnsi="Arial" w:cs="Arial"/>
          <w:color w:val="000000"/>
          <w:sz w:val="24"/>
          <w:szCs w:val="24"/>
          <w:lang w:eastAsia="en-GB"/>
        </w:rPr>
        <w:t xml:space="preserve"> </w:t>
      </w:r>
      <w:r w:rsidR="000B7690" w:rsidRPr="008D1442">
        <w:rPr>
          <w:rFonts w:ascii="Arial" w:eastAsia="Times New Roman" w:hAnsi="Arial" w:cs="Arial"/>
          <w:color w:val="000000"/>
          <w:sz w:val="24"/>
          <w:szCs w:val="24"/>
          <w:lang w:eastAsia="en-GB"/>
        </w:rPr>
        <w:t>to suggest that the civilian witnesses were being more truthful than the military witnesses, rather than the other way round.</w:t>
      </w:r>
      <w:r w:rsidR="00FF2F0D" w:rsidRPr="008D1442">
        <w:rPr>
          <w:rFonts w:ascii="Arial" w:eastAsia="Times New Roman" w:hAnsi="Arial" w:cs="Arial"/>
          <w:color w:val="000000"/>
          <w:sz w:val="24"/>
          <w:szCs w:val="24"/>
          <w:lang w:eastAsia="en-GB"/>
        </w:rPr>
        <w:t xml:space="preserve"> Th</w:t>
      </w:r>
      <w:r w:rsidR="001F67BC" w:rsidRPr="008D1442">
        <w:rPr>
          <w:rFonts w:ascii="Arial" w:eastAsia="Times New Roman" w:hAnsi="Arial" w:cs="Arial"/>
          <w:color w:val="000000"/>
          <w:sz w:val="24"/>
          <w:szCs w:val="24"/>
          <w:lang w:eastAsia="en-GB"/>
        </w:rPr>
        <w:t>is could give rise to injustice and there</w:t>
      </w:r>
      <w:r w:rsidR="00FF2F0D" w:rsidRPr="008D1442">
        <w:rPr>
          <w:rFonts w:ascii="Arial" w:eastAsia="Times New Roman" w:hAnsi="Arial" w:cs="Arial"/>
          <w:color w:val="000000"/>
          <w:sz w:val="24"/>
          <w:szCs w:val="24"/>
          <w:lang w:eastAsia="en-GB"/>
        </w:rPr>
        <w:t xml:space="preserve"> may well be a judicial and bar training issue here.</w:t>
      </w:r>
    </w:p>
    <w:p w14:paraId="7CD81F10" w14:textId="0A2CA187" w:rsidR="00FF2F0D" w:rsidRDefault="00FF2F0D" w:rsidP="00CA08BA">
      <w:pPr>
        <w:widowControl/>
        <w:spacing w:after="120"/>
        <w:ind w:left="-340" w:right="680"/>
        <w:contextualSpacing/>
        <w:jc w:val="both"/>
        <w:rPr>
          <w:rFonts w:ascii="Arial" w:eastAsia="Times New Roman" w:hAnsi="Arial" w:cs="Arial"/>
          <w:color w:val="000000"/>
          <w:sz w:val="24"/>
          <w:szCs w:val="24"/>
          <w:lang w:eastAsia="en-GB"/>
        </w:rPr>
      </w:pPr>
    </w:p>
    <w:p w14:paraId="6D3D5D21" w14:textId="60639FEF" w:rsidR="00FF2F0D" w:rsidRDefault="00FF2F0D" w:rsidP="00CA08BA">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For the reasons which we have previously given we do</w:t>
      </w:r>
      <w:r w:rsidR="00DD688F">
        <w:rPr>
          <w:rFonts w:ascii="Arial" w:eastAsia="Times New Roman" w:hAnsi="Arial" w:cs="Arial"/>
          <w:color w:val="000000"/>
          <w:sz w:val="24"/>
          <w:szCs w:val="24"/>
          <w:lang w:eastAsia="en-GB"/>
        </w:rPr>
        <w:t xml:space="preserve"> not</w:t>
      </w:r>
      <w:r>
        <w:rPr>
          <w:rFonts w:ascii="Arial" w:eastAsia="Times New Roman" w:hAnsi="Arial" w:cs="Arial"/>
          <w:color w:val="000000"/>
          <w:sz w:val="24"/>
          <w:szCs w:val="24"/>
          <w:lang w:eastAsia="en-GB"/>
        </w:rPr>
        <w:t xml:space="preserve"> favour the concept of amnesty, and this must apply equally to military veterans who are reasonably suspected of having committed criminal offences.</w:t>
      </w:r>
      <w:r w:rsidR="00777B71">
        <w:rPr>
          <w:rFonts w:ascii="Arial" w:eastAsia="Times New Roman" w:hAnsi="Arial" w:cs="Arial"/>
          <w:color w:val="000000"/>
          <w:sz w:val="24"/>
          <w:szCs w:val="24"/>
          <w:lang w:eastAsia="en-GB"/>
        </w:rPr>
        <w:t xml:space="preserve"> But there is much to commend the current thinking regarding ways in which the bar to renewed investigations and new or renewed prosecutions or indeed civil actions could be set at a height which would serve to protect the interests of military veterans who may be subject to vexatious claims.</w:t>
      </w:r>
      <w:r w:rsidR="00DD688F">
        <w:rPr>
          <w:rFonts w:ascii="Arial" w:eastAsia="Times New Roman" w:hAnsi="Arial" w:cs="Arial"/>
          <w:color w:val="000000"/>
          <w:sz w:val="24"/>
          <w:szCs w:val="24"/>
          <w:lang w:eastAsia="en-GB"/>
        </w:rPr>
        <w:t xml:space="preserve"> Again the criteria should be along the lines of significant new and compelling evidence which may produce a reasonable expectation of a successful prosecution or the overturning of a previous finding – and not some vague allegation of unspecified misconduct or unfounded suggestion that a previous investigation was somehow inadequate.</w:t>
      </w:r>
    </w:p>
    <w:p w14:paraId="68FB8DCE" w14:textId="157C0CF4" w:rsidR="0006291A" w:rsidRDefault="0006291A" w:rsidP="00CA08BA">
      <w:pPr>
        <w:widowControl/>
        <w:spacing w:after="120"/>
        <w:ind w:left="-340" w:right="680"/>
        <w:contextualSpacing/>
        <w:jc w:val="both"/>
        <w:rPr>
          <w:rFonts w:ascii="Arial" w:eastAsia="Times New Roman" w:hAnsi="Arial" w:cs="Arial"/>
          <w:color w:val="000000"/>
          <w:sz w:val="24"/>
          <w:szCs w:val="24"/>
          <w:lang w:eastAsia="en-GB"/>
        </w:rPr>
      </w:pPr>
    </w:p>
    <w:p w14:paraId="53099C72" w14:textId="32C396E9" w:rsidR="0006291A" w:rsidRDefault="0006291A" w:rsidP="00CA08BA">
      <w:pPr>
        <w:widowControl/>
        <w:spacing w:after="120"/>
        <w:ind w:left="-340" w:right="680"/>
        <w:contextualSpacing/>
        <w:jc w:val="both"/>
        <w:rPr>
          <w:rFonts w:ascii="Arial" w:eastAsia="Times New Roman" w:hAnsi="Arial" w:cs="Arial"/>
          <w:color w:val="000000"/>
          <w:sz w:val="24"/>
          <w:szCs w:val="24"/>
          <w:lang w:eastAsia="en-GB"/>
        </w:rPr>
      </w:pPr>
    </w:p>
    <w:p w14:paraId="148125CA" w14:textId="2AB1C679" w:rsidR="0006291A" w:rsidRPr="0006291A" w:rsidRDefault="0006291A" w:rsidP="00CA08BA">
      <w:pPr>
        <w:widowControl/>
        <w:spacing w:after="120"/>
        <w:ind w:left="-340" w:right="680"/>
        <w:contextualSpacing/>
        <w:jc w:val="both"/>
        <w:rPr>
          <w:rFonts w:ascii="Arial" w:eastAsia="Times New Roman" w:hAnsi="Arial" w:cs="Arial"/>
          <w:color w:val="000000"/>
          <w:sz w:val="24"/>
          <w:szCs w:val="24"/>
          <w:u w:val="single"/>
          <w:lang w:eastAsia="en-GB"/>
        </w:rPr>
      </w:pPr>
      <w:r w:rsidRPr="0006291A">
        <w:rPr>
          <w:rFonts w:ascii="Arial" w:eastAsia="Times New Roman" w:hAnsi="Arial" w:cs="Arial"/>
          <w:color w:val="000000"/>
          <w:sz w:val="24"/>
          <w:szCs w:val="24"/>
          <w:u w:val="single"/>
          <w:lang w:eastAsia="en-GB"/>
        </w:rPr>
        <w:t>Conclusion</w:t>
      </w:r>
    </w:p>
    <w:p w14:paraId="2343AACE" w14:textId="75FC65B1" w:rsidR="0006291A" w:rsidRDefault="0006291A" w:rsidP="00CA08BA">
      <w:pPr>
        <w:widowControl/>
        <w:spacing w:after="120"/>
        <w:ind w:left="-340" w:right="680"/>
        <w:contextualSpacing/>
        <w:jc w:val="both"/>
        <w:rPr>
          <w:rFonts w:ascii="Arial" w:eastAsia="Times New Roman" w:hAnsi="Arial" w:cs="Arial"/>
          <w:color w:val="000000"/>
          <w:sz w:val="24"/>
          <w:szCs w:val="24"/>
          <w:lang w:eastAsia="en-GB"/>
        </w:rPr>
      </w:pPr>
    </w:p>
    <w:p w14:paraId="26BA8440" w14:textId="77777777" w:rsidR="00887121" w:rsidRDefault="0006291A" w:rsidP="00887121">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Association welcomes what appears to be a significant change in </w:t>
      </w:r>
      <w:r w:rsidR="00887121">
        <w:rPr>
          <w:rFonts w:ascii="Arial" w:eastAsia="Times New Roman" w:hAnsi="Arial" w:cs="Arial"/>
          <w:color w:val="000000"/>
          <w:sz w:val="24"/>
          <w:szCs w:val="24"/>
          <w:lang w:eastAsia="en-GB"/>
        </w:rPr>
        <w:t>emphasis in the new Government proposals to address legacy issues and we offer above some suggestions as to how this might work in practice. There is optimism that the mistakes made in the drafting of the 2018 Bill will not be repeated in 2020.</w:t>
      </w:r>
    </w:p>
    <w:p w14:paraId="5CBDEDBA" w14:textId="77777777" w:rsidR="00887121" w:rsidRDefault="00887121" w:rsidP="00887121">
      <w:pPr>
        <w:widowControl/>
        <w:spacing w:after="120"/>
        <w:ind w:left="-340" w:right="680"/>
        <w:contextualSpacing/>
        <w:jc w:val="both"/>
        <w:rPr>
          <w:rFonts w:ascii="Arial" w:eastAsia="Times New Roman" w:hAnsi="Arial" w:cs="Arial"/>
          <w:color w:val="000000"/>
          <w:sz w:val="24"/>
          <w:szCs w:val="24"/>
          <w:lang w:eastAsia="en-GB"/>
        </w:rPr>
      </w:pPr>
    </w:p>
    <w:p w14:paraId="69CE625D" w14:textId="5447E8B4" w:rsidR="00CA08BA" w:rsidRDefault="00887121" w:rsidP="006239BF">
      <w:pPr>
        <w:widowControl/>
        <w:spacing w:after="120"/>
        <w:ind w:left="-340" w:right="680"/>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an Association we have naturally offered suggestions which we believe will be in the interests of our members and of the wider police family. However we also believe that our suggestions, which are geared towards just outcomes for all, whether through criminal justice processes or information retrieval and dissemination, will</w:t>
      </w:r>
      <w:r w:rsidR="006239BF">
        <w:rPr>
          <w:rFonts w:ascii="Arial" w:eastAsia="Times New Roman" w:hAnsi="Arial" w:cs="Arial"/>
          <w:color w:val="000000"/>
          <w:sz w:val="24"/>
          <w:szCs w:val="24"/>
          <w:lang w:eastAsia="en-GB"/>
        </w:rPr>
        <w:t xml:space="preserve"> also</w:t>
      </w:r>
      <w:r>
        <w:rPr>
          <w:rFonts w:ascii="Arial" w:eastAsia="Times New Roman" w:hAnsi="Arial" w:cs="Arial"/>
          <w:color w:val="000000"/>
          <w:sz w:val="24"/>
          <w:szCs w:val="24"/>
          <w:lang w:eastAsia="en-GB"/>
        </w:rPr>
        <w:t xml:space="preserve"> be in the best interests of all.</w:t>
      </w:r>
    </w:p>
    <w:p w14:paraId="3BA2A7F7" w14:textId="6A127396" w:rsidR="00CA08BA" w:rsidRDefault="00CA08BA" w:rsidP="003056EF">
      <w:pPr>
        <w:widowControl/>
        <w:spacing w:after="120"/>
        <w:ind w:right="680"/>
        <w:contextualSpacing/>
        <w:jc w:val="both"/>
        <w:rPr>
          <w:rFonts w:ascii="Arial" w:eastAsia="Times New Roman" w:hAnsi="Arial" w:cs="Arial"/>
          <w:color w:val="000000"/>
          <w:sz w:val="24"/>
          <w:szCs w:val="24"/>
          <w:lang w:eastAsia="en-GB"/>
        </w:rPr>
      </w:pPr>
    </w:p>
    <w:p w14:paraId="60E93EEC" w14:textId="2293B23B" w:rsidR="00CA08BA" w:rsidRDefault="00CA08BA" w:rsidP="00CA08BA">
      <w:pPr>
        <w:widowControl/>
        <w:spacing w:after="120"/>
        <w:ind w:left="-340" w:right="680"/>
        <w:contextualSpacing/>
        <w:jc w:val="both"/>
        <w:rPr>
          <w:rFonts w:ascii="Arial" w:eastAsia="Times New Roman" w:hAnsi="Arial" w:cs="Arial"/>
          <w:color w:val="000000"/>
          <w:sz w:val="24"/>
          <w:szCs w:val="24"/>
          <w:lang w:eastAsia="en-GB"/>
        </w:rPr>
      </w:pPr>
    </w:p>
    <w:p w14:paraId="172947A5" w14:textId="25AE3FFD"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28D9857C" w14:textId="3BE29ED8"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7FF4922A" w14:textId="64986352"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4527299D" w14:textId="0A744A4C"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2A530C6B" w14:textId="4F10314C"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3B4014F0" w14:textId="24701D58"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7C2290DB" w14:textId="551C243C"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33A6E33F" w14:textId="2468AC60"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5EA99319" w14:textId="2A7D1713"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1BEB0A72" w14:textId="22FC8963"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4D2F69DD" w14:textId="2EFD2764"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40DCF494" w14:textId="779FB604"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4516B901" w14:textId="13C43774"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699019AE" w14:textId="58361F6C"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2F604BB3" w14:textId="1C44E739"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1A673D57" w14:textId="05A8FEF6"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3F49DA5D" w14:textId="0F4B0811"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4C812554" w14:textId="1181E75A"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3F952762" w14:textId="5814C393"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2F9FCA9A" w14:textId="202C3483"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5AE752C4" w14:textId="775F067C"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1388C8B9" w14:textId="0189167C"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03304C25" w14:textId="6EE5EAA7"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0567EB63" w14:textId="7EBDF0AE"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57C73A7F" w14:textId="111BFA93"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7968841C" w14:textId="39A1148B"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739DE166" w14:textId="0ADCFC25"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5AC1D51B" w14:textId="59195974"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3C899F84" w14:textId="06B965C5"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1181EFBD" w14:textId="40D6EFD7"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10BBDE34" w14:textId="1248353A"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772EBEB8" w14:textId="57579214"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558BDF35" w14:textId="71FEDB34"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592C49C2" w14:textId="77777777" w:rsidR="006934AE" w:rsidRDefault="006934AE" w:rsidP="00CA08BA">
      <w:pPr>
        <w:widowControl/>
        <w:spacing w:after="120"/>
        <w:ind w:left="-340" w:right="680"/>
        <w:contextualSpacing/>
        <w:jc w:val="both"/>
        <w:rPr>
          <w:rFonts w:ascii="Arial" w:eastAsia="Times New Roman" w:hAnsi="Arial" w:cs="Arial"/>
          <w:color w:val="000000"/>
          <w:sz w:val="24"/>
          <w:szCs w:val="24"/>
          <w:lang w:eastAsia="en-GB"/>
        </w:rPr>
      </w:pPr>
    </w:p>
    <w:p w14:paraId="1638AF42" w14:textId="17A839BE" w:rsidR="00CA08BA" w:rsidRDefault="00CA08BA" w:rsidP="003056EF">
      <w:pPr>
        <w:widowControl/>
        <w:spacing w:after="120"/>
        <w:ind w:right="680"/>
        <w:contextualSpacing/>
        <w:jc w:val="both"/>
        <w:rPr>
          <w:rFonts w:ascii="Arial" w:eastAsia="Times New Roman" w:hAnsi="Arial" w:cs="Arial"/>
          <w:color w:val="000000"/>
          <w:sz w:val="24"/>
          <w:szCs w:val="24"/>
          <w:lang w:eastAsia="en-GB"/>
        </w:rPr>
      </w:pPr>
    </w:p>
    <w:p w14:paraId="2BBBDB6E" w14:textId="77777777" w:rsidR="00CA08BA" w:rsidRPr="00CA08BA" w:rsidRDefault="00CA08BA" w:rsidP="00CA08BA">
      <w:pPr>
        <w:widowControl/>
        <w:spacing w:after="120"/>
        <w:ind w:left="-340" w:right="680"/>
        <w:contextualSpacing/>
        <w:jc w:val="both"/>
        <w:rPr>
          <w:rFonts w:ascii="Arial" w:eastAsia="Times New Roman" w:hAnsi="Arial" w:cs="Arial"/>
          <w:color w:val="000000"/>
          <w:sz w:val="24"/>
          <w:szCs w:val="24"/>
          <w:lang w:eastAsia="en-GB"/>
        </w:rPr>
      </w:pPr>
    </w:p>
    <w:p w14:paraId="609B42DB" w14:textId="77777777" w:rsidR="007A46B7" w:rsidRDefault="007A46B7">
      <w:pPr>
        <w:pStyle w:val="BodyText"/>
        <w:spacing w:before="11"/>
        <w:rPr>
          <w:rFonts w:ascii="Times New Roman"/>
          <w:sz w:val="21"/>
        </w:rPr>
      </w:pPr>
    </w:p>
    <w:p w14:paraId="3F60AAF1" w14:textId="77777777" w:rsidR="007A46B7" w:rsidRDefault="009E47E4">
      <w:pPr>
        <w:pStyle w:val="BodyText"/>
        <w:spacing w:before="55"/>
        <w:ind w:left="927" w:right="1970"/>
        <w:jc w:val="center"/>
      </w:pPr>
      <w:r>
        <w:rPr>
          <w:color w:val="231F20"/>
        </w:rPr>
        <w:t>Maryfield, 100 Belfast Road, Holywood, BT18 9QY</w:t>
      </w:r>
    </w:p>
    <w:p w14:paraId="7A8AC227" w14:textId="77777777" w:rsidR="007A46B7" w:rsidRDefault="009E47E4">
      <w:pPr>
        <w:pStyle w:val="BodyText"/>
        <w:spacing w:before="19"/>
        <w:ind w:left="927" w:right="1970"/>
        <w:jc w:val="center"/>
      </w:pPr>
      <w:r>
        <w:rPr>
          <w:color w:val="231F20"/>
        </w:rPr>
        <w:t xml:space="preserve">Telephone 028 9039 3568 | Email </w:t>
      </w:r>
      <w:hyperlink r:id="rId11">
        <w:r>
          <w:rPr>
            <w:color w:val="231F20"/>
          </w:rPr>
          <w:t>info@nirpoa.org</w:t>
        </w:r>
      </w:hyperlink>
      <w:r>
        <w:rPr>
          <w:color w:val="231F20"/>
        </w:rPr>
        <w:t xml:space="preserve"> | Web </w:t>
      </w:r>
      <w:hyperlink r:id="rId12">
        <w:r>
          <w:rPr>
            <w:color w:val="231F20"/>
          </w:rPr>
          <w:t>www.nirpoa.org</w:t>
        </w:r>
      </w:hyperlink>
    </w:p>
    <w:sectPr w:rsidR="007A46B7" w:rsidSect="00D34134">
      <w:headerReference w:type="even" r:id="rId13"/>
      <w:headerReference w:type="default" r:id="rId14"/>
      <w:type w:val="continuous"/>
      <w:pgSz w:w="11910" w:h="16840"/>
      <w:pgMar w:top="720" w:right="620" w:bottom="280" w:left="16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05811" w14:textId="77777777" w:rsidR="000B01BB" w:rsidRDefault="000B01BB" w:rsidP="00D34134">
      <w:r>
        <w:separator/>
      </w:r>
    </w:p>
  </w:endnote>
  <w:endnote w:type="continuationSeparator" w:id="0">
    <w:p w14:paraId="5AB6CB5D" w14:textId="77777777" w:rsidR="000B01BB" w:rsidRDefault="000B01BB" w:rsidP="00D3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0C98F" w14:textId="77777777" w:rsidR="000B01BB" w:rsidRDefault="000B01BB" w:rsidP="00D34134">
      <w:r>
        <w:separator/>
      </w:r>
    </w:p>
  </w:footnote>
  <w:footnote w:type="continuationSeparator" w:id="0">
    <w:p w14:paraId="5E1C273A" w14:textId="77777777" w:rsidR="000B01BB" w:rsidRDefault="000B01BB" w:rsidP="00D3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2750460"/>
      <w:docPartObj>
        <w:docPartGallery w:val="Page Numbers (Top of Page)"/>
        <w:docPartUnique/>
      </w:docPartObj>
    </w:sdtPr>
    <w:sdtEndPr>
      <w:rPr>
        <w:rStyle w:val="PageNumber"/>
      </w:rPr>
    </w:sdtEndPr>
    <w:sdtContent>
      <w:p w14:paraId="59790E58" w14:textId="621F9C75" w:rsidR="00D34134" w:rsidRDefault="00D34134" w:rsidP="005720E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75F8A" w14:textId="77777777" w:rsidR="00D34134" w:rsidRDefault="00D34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13162854"/>
      <w:docPartObj>
        <w:docPartGallery w:val="Page Numbers (Top of Page)"/>
        <w:docPartUnique/>
      </w:docPartObj>
    </w:sdtPr>
    <w:sdtEndPr>
      <w:rPr>
        <w:rStyle w:val="PageNumber"/>
      </w:rPr>
    </w:sdtEndPr>
    <w:sdtContent>
      <w:p w14:paraId="503D8F02" w14:textId="0D22703E" w:rsidR="00D34134" w:rsidRDefault="00D34134" w:rsidP="005720E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42497">
          <w:rPr>
            <w:rStyle w:val="PageNumber"/>
            <w:noProof/>
          </w:rPr>
          <w:t>13</w:t>
        </w:r>
        <w:r>
          <w:rPr>
            <w:rStyle w:val="PageNumber"/>
          </w:rPr>
          <w:fldChar w:fldCharType="end"/>
        </w:r>
      </w:p>
    </w:sdtContent>
  </w:sdt>
  <w:p w14:paraId="306FE8AA" w14:textId="77777777" w:rsidR="00D34134" w:rsidRDefault="00D34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19E"/>
    <w:multiLevelType w:val="multilevel"/>
    <w:tmpl w:val="0AF23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E76E2"/>
    <w:multiLevelType w:val="hybridMultilevel"/>
    <w:tmpl w:val="FEB873EA"/>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
    <w:nsid w:val="2BD13E26"/>
    <w:multiLevelType w:val="multilevel"/>
    <w:tmpl w:val="E3F84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C4A8B"/>
    <w:multiLevelType w:val="multilevel"/>
    <w:tmpl w:val="D3D04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D082B"/>
    <w:multiLevelType w:val="hybridMultilevel"/>
    <w:tmpl w:val="F3DC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C45A54"/>
    <w:multiLevelType w:val="hybridMultilevel"/>
    <w:tmpl w:val="45986CB2"/>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6">
    <w:nsid w:val="4EED2D11"/>
    <w:multiLevelType w:val="multilevel"/>
    <w:tmpl w:val="1C9AA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D76A02"/>
    <w:multiLevelType w:val="multilevel"/>
    <w:tmpl w:val="1E424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237D71"/>
    <w:multiLevelType w:val="multilevel"/>
    <w:tmpl w:val="6AAE1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8"/>
  </w:num>
  <w:num w:numId="5">
    <w:abstractNumId w:val="0"/>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B7"/>
    <w:rsid w:val="00013177"/>
    <w:rsid w:val="00015A73"/>
    <w:rsid w:val="00020925"/>
    <w:rsid w:val="00025237"/>
    <w:rsid w:val="00025C06"/>
    <w:rsid w:val="000341BF"/>
    <w:rsid w:val="0003514B"/>
    <w:rsid w:val="0003753E"/>
    <w:rsid w:val="00056307"/>
    <w:rsid w:val="0006291A"/>
    <w:rsid w:val="00067224"/>
    <w:rsid w:val="00077540"/>
    <w:rsid w:val="00082A43"/>
    <w:rsid w:val="000961CE"/>
    <w:rsid w:val="000B01BB"/>
    <w:rsid w:val="000B549C"/>
    <w:rsid w:val="000B7690"/>
    <w:rsid w:val="000C4960"/>
    <w:rsid w:val="000C4FC6"/>
    <w:rsid w:val="000C72D6"/>
    <w:rsid w:val="000D7940"/>
    <w:rsid w:val="00105B94"/>
    <w:rsid w:val="00107ADD"/>
    <w:rsid w:val="0011669F"/>
    <w:rsid w:val="00144124"/>
    <w:rsid w:val="001561E2"/>
    <w:rsid w:val="00166515"/>
    <w:rsid w:val="0018452B"/>
    <w:rsid w:val="0018791B"/>
    <w:rsid w:val="001947DF"/>
    <w:rsid w:val="00196FDB"/>
    <w:rsid w:val="001A45C0"/>
    <w:rsid w:val="001A62A1"/>
    <w:rsid w:val="001C29C4"/>
    <w:rsid w:val="001E3CF4"/>
    <w:rsid w:val="001F67BC"/>
    <w:rsid w:val="00204262"/>
    <w:rsid w:val="0020666A"/>
    <w:rsid w:val="0020707C"/>
    <w:rsid w:val="002079D6"/>
    <w:rsid w:val="0021556A"/>
    <w:rsid w:val="00235E0E"/>
    <w:rsid w:val="002458AB"/>
    <w:rsid w:val="00262F36"/>
    <w:rsid w:val="00292CF8"/>
    <w:rsid w:val="002A7859"/>
    <w:rsid w:val="002B7746"/>
    <w:rsid w:val="002E106A"/>
    <w:rsid w:val="002E45A1"/>
    <w:rsid w:val="00300D00"/>
    <w:rsid w:val="00301C86"/>
    <w:rsid w:val="00303B1E"/>
    <w:rsid w:val="003056EF"/>
    <w:rsid w:val="003165F0"/>
    <w:rsid w:val="00333482"/>
    <w:rsid w:val="00334505"/>
    <w:rsid w:val="00366837"/>
    <w:rsid w:val="0039420B"/>
    <w:rsid w:val="0039661B"/>
    <w:rsid w:val="003B2C28"/>
    <w:rsid w:val="003C0251"/>
    <w:rsid w:val="003C4B25"/>
    <w:rsid w:val="003D3AAC"/>
    <w:rsid w:val="004017EB"/>
    <w:rsid w:val="00420BF7"/>
    <w:rsid w:val="00424C6D"/>
    <w:rsid w:val="00440A4C"/>
    <w:rsid w:val="00442436"/>
    <w:rsid w:val="004468E5"/>
    <w:rsid w:val="00447B36"/>
    <w:rsid w:val="00453EEA"/>
    <w:rsid w:val="004601CB"/>
    <w:rsid w:val="004661CD"/>
    <w:rsid w:val="004710F8"/>
    <w:rsid w:val="00483AD1"/>
    <w:rsid w:val="00485E52"/>
    <w:rsid w:val="00490D20"/>
    <w:rsid w:val="004B47CF"/>
    <w:rsid w:val="004E3AF1"/>
    <w:rsid w:val="00551758"/>
    <w:rsid w:val="00556FD3"/>
    <w:rsid w:val="00560B17"/>
    <w:rsid w:val="005749F9"/>
    <w:rsid w:val="0057569A"/>
    <w:rsid w:val="00583CD9"/>
    <w:rsid w:val="00586F62"/>
    <w:rsid w:val="005A064B"/>
    <w:rsid w:val="005A5226"/>
    <w:rsid w:val="005C08FB"/>
    <w:rsid w:val="005C2A9E"/>
    <w:rsid w:val="005F4247"/>
    <w:rsid w:val="0060264E"/>
    <w:rsid w:val="00603717"/>
    <w:rsid w:val="00603976"/>
    <w:rsid w:val="00616905"/>
    <w:rsid w:val="006213B2"/>
    <w:rsid w:val="006239BF"/>
    <w:rsid w:val="00631DC5"/>
    <w:rsid w:val="00636DB5"/>
    <w:rsid w:val="00641124"/>
    <w:rsid w:val="0064618E"/>
    <w:rsid w:val="00647CDA"/>
    <w:rsid w:val="00650E17"/>
    <w:rsid w:val="00651D20"/>
    <w:rsid w:val="006934AE"/>
    <w:rsid w:val="006A2381"/>
    <w:rsid w:val="006B6443"/>
    <w:rsid w:val="006E70C1"/>
    <w:rsid w:val="006F3E2D"/>
    <w:rsid w:val="006F7D11"/>
    <w:rsid w:val="00701515"/>
    <w:rsid w:val="0070557B"/>
    <w:rsid w:val="007103BE"/>
    <w:rsid w:val="007409ED"/>
    <w:rsid w:val="00744176"/>
    <w:rsid w:val="0077033E"/>
    <w:rsid w:val="00770F5C"/>
    <w:rsid w:val="0077161B"/>
    <w:rsid w:val="00774438"/>
    <w:rsid w:val="00777B71"/>
    <w:rsid w:val="0078349F"/>
    <w:rsid w:val="00783F98"/>
    <w:rsid w:val="007A0B03"/>
    <w:rsid w:val="007A46B7"/>
    <w:rsid w:val="007B391B"/>
    <w:rsid w:val="007C05F5"/>
    <w:rsid w:val="007C0B1C"/>
    <w:rsid w:val="007D25A3"/>
    <w:rsid w:val="007E1500"/>
    <w:rsid w:val="007F2441"/>
    <w:rsid w:val="00827C53"/>
    <w:rsid w:val="00833EC0"/>
    <w:rsid w:val="0083644A"/>
    <w:rsid w:val="00872132"/>
    <w:rsid w:val="00884431"/>
    <w:rsid w:val="008857CF"/>
    <w:rsid w:val="00887121"/>
    <w:rsid w:val="0089650E"/>
    <w:rsid w:val="00896946"/>
    <w:rsid w:val="008A307B"/>
    <w:rsid w:val="008B7AE0"/>
    <w:rsid w:val="008D0295"/>
    <w:rsid w:val="008D1442"/>
    <w:rsid w:val="008E6885"/>
    <w:rsid w:val="00936E21"/>
    <w:rsid w:val="00957D4D"/>
    <w:rsid w:val="0096129B"/>
    <w:rsid w:val="009636F2"/>
    <w:rsid w:val="00990846"/>
    <w:rsid w:val="009936FE"/>
    <w:rsid w:val="009D5F15"/>
    <w:rsid w:val="009E3F25"/>
    <w:rsid w:val="009E47E4"/>
    <w:rsid w:val="009E5D4F"/>
    <w:rsid w:val="009F103B"/>
    <w:rsid w:val="009F645F"/>
    <w:rsid w:val="009F65A8"/>
    <w:rsid w:val="00A04931"/>
    <w:rsid w:val="00A0756B"/>
    <w:rsid w:val="00A14180"/>
    <w:rsid w:val="00A178E7"/>
    <w:rsid w:val="00A25E1B"/>
    <w:rsid w:val="00A27727"/>
    <w:rsid w:val="00A337E9"/>
    <w:rsid w:val="00A43735"/>
    <w:rsid w:val="00A55743"/>
    <w:rsid w:val="00A80EF9"/>
    <w:rsid w:val="00A81F4C"/>
    <w:rsid w:val="00A85D77"/>
    <w:rsid w:val="00AA3197"/>
    <w:rsid w:val="00AA3C16"/>
    <w:rsid w:val="00AA5F0B"/>
    <w:rsid w:val="00AB090A"/>
    <w:rsid w:val="00AB7CCD"/>
    <w:rsid w:val="00AC1B2B"/>
    <w:rsid w:val="00AC5D81"/>
    <w:rsid w:val="00AE6687"/>
    <w:rsid w:val="00AF6ACF"/>
    <w:rsid w:val="00AF6DA5"/>
    <w:rsid w:val="00B00719"/>
    <w:rsid w:val="00B138C2"/>
    <w:rsid w:val="00B17DD6"/>
    <w:rsid w:val="00B35E88"/>
    <w:rsid w:val="00B43F81"/>
    <w:rsid w:val="00B53E93"/>
    <w:rsid w:val="00B64672"/>
    <w:rsid w:val="00B80E06"/>
    <w:rsid w:val="00B8319F"/>
    <w:rsid w:val="00BA6D8A"/>
    <w:rsid w:val="00BB2C56"/>
    <w:rsid w:val="00BB51C3"/>
    <w:rsid w:val="00BF5F99"/>
    <w:rsid w:val="00C025D5"/>
    <w:rsid w:val="00C3544E"/>
    <w:rsid w:val="00C42497"/>
    <w:rsid w:val="00C47F60"/>
    <w:rsid w:val="00C52DD3"/>
    <w:rsid w:val="00C56708"/>
    <w:rsid w:val="00C654AD"/>
    <w:rsid w:val="00C71B01"/>
    <w:rsid w:val="00C9568F"/>
    <w:rsid w:val="00CA08BA"/>
    <w:rsid w:val="00CB3FE2"/>
    <w:rsid w:val="00CC0854"/>
    <w:rsid w:val="00CD383B"/>
    <w:rsid w:val="00CD3EC2"/>
    <w:rsid w:val="00D03C77"/>
    <w:rsid w:val="00D16CB0"/>
    <w:rsid w:val="00D2554C"/>
    <w:rsid w:val="00D34134"/>
    <w:rsid w:val="00D34FCB"/>
    <w:rsid w:val="00D62BD3"/>
    <w:rsid w:val="00D816A1"/>
    <w:rsid w:val="00D81876"/>
    <w:rsid w:val="00D85AAE"/>
    <w:rsid w:val="00D87D21"/>
    <w:rsid w:val="00D922DC"/>
    <w:rsid w:val="00DD66BC"/>
    <w:rsid w:val="00DD688F"/>
    <w:rsid w:val="00DE690F"/>
    <w:rsid w:val="00E070F9"/>
    <w:rsid w:val="00E11875"/>
    <w:rsid w:val="00E40C8E"/>
    <w:rsid w:val="00E62DCD"/>
    <w:rsid w:val="00E72677"/>
    <w:rsid w:val="00E97715"/>
    <w:rsid w:val="00EA1E88"/>
    <w:rsid w:val="00EA7E5C"/>
    <w:rsid w:val="00ED19DF"/>
    <w:rsid w:val="00ED620D"/>
    <w:rsid w:val="00EE4670"/>
    <w:rsid w:val="00EF3C6F"/>
    <w:rsid w:val="00F12CB1"/>
    <w:rsid w:val="00F30983"/>
    <w:rsid w:val="00F65D56"/>
    <w:rsid w:val="00FC5BD3"/>
    <w:rsid w:val="00FE33B6"/>
    <w:rsid w:val="00FE489B"/>
    <w:rsid w:val="00FE750D"/>
    <w:rsid w:val="00FF189E"/>
    <w:rsid w:val="00FF2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6B7"/>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46B7"/>
  </w:style>
  <w:style w:type="paragraph" w:styleId="ListParagraph">
    <w:name w:val="List Paragraph"/>
    <w:basedOn w:val="Normal"/>
    <w:uiPriority w:val="1"/>
    <w:qFormat/>
    <w:rsid w:val="007A46B7"/>
  </w:style>
  <w:style w:type="paragraph" w:customStyle="1" w:styleId="TableParagraph">
    <w:name w:val="Table Paragraph"/>
    <w:basedOn w:val="Normal"/>
    <w:uiPriority w:val="1"/>
    <w:qFormat/>
    <w:rsid w:val="007A46B7"/>
  </w:style>
  <w:style w:type="paragraph" w:styleId="BalloonText">
    <w:name w:val="Balloon Text"/>
    <w:basedOn w:val="Normal"/>
    <w:link w:val="BalloonTextChar"/>
    <w:uiPriority w:val="99"/>
    <w:semiHidden/>
    <w:unhideWhenUsed/>
    <w:rsid w:val="009E47E4"/>
    <w:rPr>
      <w:rFonts w:ascii="Tahoma" w:hAnsi="Tahoma" w:cs="Tahoma"/>
      <w:sz w:val="16"/>
      <w:szCs w:val="16"/>
    </w:rPr>
  </w:style>
  <w:style w:type="character" w:customStyle="1" w:styleId="BalloonTextChar">
    <w:name w:val="Balloon Text Char"/>
    <w:basedOn w:val="DefaultParagraphFont"/>
    <w:link w:val="BalloonText"/>
    <w:uiPriority w:val="99"/>
    <w:semiHidden/>
    <w:rsid w:val="009E47E4"/>
    <w:rPr>
      <w:rFonts w:ascii="Tahoma" w:eastAsia="Calibri" w:hAnsi="Tahoma" w:cs="Tahoma"/>
      <w:sz w:val="16"/>
      <w:szCs w:val="16"/>
    </w:rPr>
  </w:style>
  <w:style w:type="paragraph" w:styleId="NoSpacing">
    <w:name w:val="No Spacing"/>
    <w:uiPriority w:val="1"/>
    <w:qFormat/>
    <w:rsid w:val="003C4B25"/>
    <w:pPr>
      <w:widowControl/>
    </w:pPr>
    <w:rPr>
      <w:lang w:val="en-GB"/>
    </w:rPr>
  </w:style>
  <w:style w:type="paragraph" w:styleId="NormalWeb">
    <w:name w:val="Normal (Web)"/>
    <w:basedOn w:val="Normal"/>
    <w:uiPriority w:val="99"/>
    <w:unhideWhenUsed/>
    <w:rsid w:val="00CD3EC2"/>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34134"/>
    <w:pPr>
      <w:tabs>
        <w:tab w:val="center" w:pos="4680"/>
        <w:tab w:val="right" w:pos="9360"/>
      </w:tabs>
    </w:pPr>
  </w:style>
  <w:style w:type="character" w:customStyle="1" w:styleId="HeaderChar">
    <w:name w:val="Header Char"/>
    <w:basedOn w:val="DefaultParagraphFont"/>
    <w:link w:val="Header"/>
    <w:uiPriority w:val="99"/>
    <w:rsid w:val="00D34134"/>
    <w:rPr>
      <w:rFonts w:ascii="Calibri" w:eastAsia="Calibri" w:hAnsi="Calibri" w:cs="Calibri"/>
      <w:lang w:val="en-GB"/>
    </w:rPr>
  </w:style>
  <w:style w:type="character" w:styleId="PageNumber">
    <w:name w:val="page number"/>
    <w:basedOn w:val="DefaultParagraphFont"/>
    <w:uiPriority w:val="99"/>
    <w:semiHidden/>
    <w:unhideWhenUsed/>
    <w:rsid w:val="00D34134"/>
  </w:style>
  <w:style w:type="paragraph" w:customStyle="1" w:styleId="Standard">
    <w:name w:val="Standard"/>
    <w:rsid w:val="00447B36"/>
    <w:pPr>
      <w:widowControl/>
      <w:suppressAutoHyphens/>
      <w:autoSpaceDN w:val="0"/>
      <w:textAlignment w:val="baseline"/>
    </w:pPr>
    <w:rPr>
      <w:rFonts w:ascii="Liberation Serif" w:eastAsia="NSimSun" w:hAnsi="Liberation Serif" w:cs="Arial"/>
      <w:kern w:val="3"/>
      <w:sz w:val="24"/>
      <w:szCs w:val="24"/>
      <w:lang w:val="en-GB" w:eastAsia="zh-CN" w:bidi="hi-IN"/>
    </w:rPr>
  </w:style>
  <w:style w:type="table" w:styleId="TableGrid">
    <w:name w:val="Table Grid"/>
    <w:basedOn w:val="TableNormal"/>
    <w:uiPriority w:val="59"/>
    <w:rsid w:val="00A3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6B7"/>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46B7"/>
  </w:style>
  <w:style w:type="paragraph" w:styleId="ListParagraph">
    <w:name w:val="List Paragraph"/>
    <w:basedOn w:val="Normal"/>
    <w:uiPriority w:val="1"/>
    <w:qFormat/>
    <w:rsid w:val="007A46B7"/>
  </w:style>
  <w:style w:type="paragraph" w:customStyle="1" w:styleId="TableParagraph">
    <w:name w:val="Table Paragraph"/>
    <w:basedOn w:val="Normal"/>
    <w:uiPriority w:val="1"/>
    <w:qFormat/>
    <w:rsid w:val="007A46B7"/>
  </w:style>
  <w:style w:type="paragraph" w:styleId="BalloonText">
    <w:name w:val="Balloon Text"/>
    <w:basedOn w:val="Normal"/>
    <w:link w:val="BalloonTextChar"/>
    <w:uiPriority w:val="99"/>
    <w:semiHidden/>
    <w:unhideWhenUsed/>
    <w:rsid w:val="009E47E4"/>
    <w:rPr>
      <w:rFonts w:ascii="Tahoma" w:hAnsi="Tahoma" w:cs="Tahoma"/>
      <w:sz w:val="16"/>
      <w:szCs w:val="16"/>
    </w:rPr>
  </w:style>
  <w:style w:type="character" w:customStyle="1" w:styleId="BalloonTextChar">
    <w:name w:val="Balloon Text Char"/>
    <w:basedOn w:val="DefaultParagraphFont"/>
    <w:link w:val="BalloonText"/>
    <w:uiPriority w:val="99"/>
    <w:semiHidden/>
    <w:rsid w:val="009E47E4"/>
    <w:rPr>
      <w:rFonts w:ascii="Tahoma" w:eastAsia="Calibri" w:hAnsi="Tahoma" w:cs="Tahoma"/>
      <w:sz w:val="16"/>
      <w:szCs w:val="16"/>
    </w:rPr>
  </w:style>
  <w:style w:type="paragraph" w:styleId="NoSpacing">
    <w:name w:val="No Spacing"/>
    <w:uiPriority w:val="1"/>
    <w:qFormat/>
    <w:rsid w:val="003C4B25"/>
    <w:pPr>
      <w:widowControl/>
    </w:pPr>
    <w:rPr>
      <w:lang w:val="en-GB"/>
    </w:rPr>
  </w:style>
  <w:style w:type="paragraph" w:styleId="NormalWeb">
    <w:name w:val="Normal (Web)"/>
    <w:basedOn w:val="Normal"/>
    <w:uiPriority w:val="99"/>
    <w:unhideWhenUsed/>
    <w:rsid w:val="00CD3EC2"/>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34134"/>
    <w:pPr>
      <w:tabs>
        <w:tab w:val="center" w:pos="4680"/>
        <w:tab w:val="right" w:pos="9360"/>
      </w:tabs>
    </w:pPr>
  </w:style>
  <w:style w:type="character" w:customStyle="1" w:styleId="HeaderChar">
    <w:name w:val="Header Char"/>
    <w:basedOn w:val="DefaultParagraphFont"/>
    <w:link w:val="Header"/>
    <w:uiPriority w:val="99"/>
    <w:rsid w:val="00D34134"/>
    <w:rPr>
      <w:rFonts w:ascii="Calibri" w:eastAsia="Calibri" w:hAnsi="Calibri" w:cs="Calibri"/>
      <w:lang w:val="en-GB"/>
    </w:rPr>
  </w:style>
  <w:style w:type="character" w:styleId="PageNumber">
    <w:name w:val="page number"/>
    <w:basedOn w:val="DefaultParagraphFont"/>
    <w:uiPriority w:val="99"/>
    <w:semiHidden/>
    <w:unhideWhenUsed/>
    <w:rsid w:val="00D34134"/>
  </w:style>
  <w:style w:type="paragraph" w:customStyle="1" w:styleId="Standard">
    <w:name w:val="Standard"/>
    <w:rsid w:val="00447B36"/>
    <w:pPr>
      <w:widowControl/>
      <w:suppressAutoHyphens/>
      <w:autoSpaceDN w:val="0"/>
      <w:textAlignment w:val="baseline"/>
    </w:pPr>
    <w:rPr>
      <w:rFonts w:ascii="Liberation Serif" w:eastAsia="NSimSun" w:hAnsi="Liberation Serif" w:cs="Arial"/>
      <w:kern w:val="3"/>
      <w:sz w:val="24"/>
      <w:szCs w:val="24"/>
      <w:lang w:val="en-GB" w:eastAsia="zh-CN" w:bidi="hi-IN"/>
    </w:rPr>
  </w:style>
  <w:style w:type="table" w:styleId="TableGrid">
    <w:name w:val="Table Grid"/>
    <w:basedOn w:val="TableNormal"/>
    <w:uiPriority w:val="59"/>
    <w:rsid w:val="00A3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250511">
      <w:bodyDiv w:val="1"/>
      <w:marLeft w:val="0"/>
      <w:marRight w:val="0"/>
      <w:marTop w:val="0"/>
      <w:marBottom w:val="0"/>
      <w:divBdr>
        <w:top w:val="none" w:sz="0" w:space="0" w:color="auto"/>
        <w:left w:val="none" w:sz="0" w:space="0" w:color="auto"/>
        <w:bottom w:val="none" w:sz="0" w:space="0" w:color="auto"/>
        <w:right w:val="none" w:sz="0" w:space="0" w:color="auto"/>
      </w:divBdr>
      <w:divsChild>
        <w:div w:id="1076710197">
          <w:marLeft w:val="0"/>
          <w:marRight w:val="0"/>
          <w:marTop w:val="0"/>
          <w:marBottom w:val="0"/>
          <w:divBdr>
            <w:top w:val="none" w:sz="0" w:space="0" w:color="auto"/>
            <w:left w:val="none" w:sz="0" w:space="0" w:color="auto"/>
            <w:bottom w:val="none" w:sz="0" w:space="0" w:color="auto"/>
            <w:right w:val="none" w:sz="0" w:space="0" w:color="auto"/>
          </w:divBdr>
          <w:divsChild>
            <w:div w:id="649333208">
              <w:marLeft w:val="0"/>
              <w:marRight w:val="0"/>
              <w:marTop w:val="0"/>
              <w:marBottom w:val="0"/>
              <w:divBdr>
                <w:top w:val="none" w:sz="0" w:space="0" w:color="auto"/>
                <w:left w:val="none" w:sz="0" w:space="0" w:color="auto"/>
                <w:bottom w:val="none" w:sz="0" w:space="0" w:color="auto"/>
                <w:right w:val="none" w:sz="0" w:space="0" w:color="auto"/>
              </w:divBdr>
              <w:divsChild>
                <w:div w:id="20127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rpo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irpo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78D4D-2B8D-4BC9-893F-206A0BFC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6495</Words>
  <Characters>37027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0</cp:lastModifiedBy>
  <cp:revision>2</cp:revision>
  <cp:lastPrinted>2017-08-07T12:57:00Z</cp:lastPrinted>
  <dcterms:created xsi:type="dcterms:W3CDTF">2020-06-02T18:21:00Z</dcterms:created>
  <dcterms:modified xsi:type="dcterms:W3CDTF">2020-06-02T18:21:00Z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Adobe InDesign CC 2015 (Windows)</vt:lpwstr>
  </property>
  <property fmtid="{D5CDD505-2E9C-101B-9397-08002B2CF9AE}" pid="4" name="LastSaved">
    <vt:filetime>2016-10-04T00:00:00Z</vt:filetime>
  </property>
</Properties>
</file>