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79" w:rsidRDefault="00407F79" w:rsidP="00DD31AA">
      <w:pPr>
        <w:spacing w:after="0" w:line="240" w:lineRule="auto"/>
        <w:rPr>
          <w:rFonts w:eastAsia="Times New Roman"/>
          <w:b/>
          <w:lang w:eastAsia="en-GB"/>
        </w:rPr>
      </w:pPr>
    </w:p>
    <w:p w:rsidR="003310BA" w:rsidRDefault="00E0495F" w:rsidP="00DD31AA">
      <w:pPr>
        <w:spacing w:after="0" w:line="240" w:lineRule="auto"/>
        <w:rPr>
          <w:rFonts w:eastAsia="Times New Roman"/>
          <w:b/>
          <w:lang w:eastAsia="en-GB"/>
        </w:rPr>
      </w:pPr>
      <w:r>
        <w:rPr>
          <w:noProof/>
          <w:lang w:eastAsia="en-GB"/>
        </w:rPr>
        <w:drawing>
          <wp:anchor distT="0" distB="0" distL="114300" distR="114300" simplePos="0" relativeHeight="251659264" behindDoc="0" locked="1" layoutInCell="1" allowOverlap="1" wp14:anchorId="44E954A5" wp14:editId="46610725">
            <wp:simplePos x="0" y="0"/>
            <wp:positionH relativeFrom="margin">
              <wp:posOffset>-927100</wp:posOffset>
            </wp:positionH>
            <wp:positionV relativeFrom="margin">
              <wp:posOffset>-622300</wp:posOffset>
            </wp:positionV>
            <wp:extent cx="7607300" cy="2508250"/>
            <wp:effectExtent l="0" t="0" r="0" b="6350"/>
            <wp:wrapSquare wrapText="bothSides"/>
            <wp:docPr id="2" name="Picture 2" descr="MHG Letterhead draf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G Letterhead draft 00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710"/>
                    <a:stretch/>
                  </pic:blipFill>
                  <pic:spPr bwMode="auto">
                    <a:xfrm>
                      <a:off x="0" y="0"/>
                      <a:ext cx="7607300" cy="250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31AA" w:rsidRPr="00D252E6">
        <w:rPr>
          <w:rFonts w:eastAsia="Times New Roman"/>
          <w:b/>
          <w:lang w:eastAsia="en-GB"/>
        </w:rPr>
        <w:t>TO THE NORTHERN IRELAND AFFAIRS COMMITTEE </w:t>
      </w:r>
    </w:p>
    <w:p w:rsidR="00DD31AA" w:rsidRPr="00DD31AA" w:rsidRDefault="00DD31AA" w:rsidP="00DD31AA">
      <w:pPr>
        <w:spacing w:after="0" w:line="240" w:lineRule="auto"/>
      </w:pPr>
    </w:p>
    <w:p w:rsidR="00EC58ED" w:rsidRDefault="00DD04A5" w:rsidP="00252DF2">
      <w:pPr>
        <w:pStyle w:val="NoSpacing"/>
        <w:jc w:val="both"/>
        <w:rPr>
          <w:lang w:eastAsia="en-GB"/>
        </w:rPr>
      </w:pPr>
      <w:r>
        <w:rPr>
          <w:lang w:eastAsia="en-GB"/>
        </w:rPr>
        <w:t>I refer</w:t>
      </w:r>
      <w:r w:rsidR="003310BA" w:rsidRPr="003310BA">
        <w:rPr>
          <w:lang w:eastAsia="en-GB"/>
        </w:rPr>
        <w:t xml:space="preserve"> to your call </w:t>
      </w:r>
      <w:r w:rsidRPr="003310BA">
        <w:rPr>
          <w:lang w:eastAsia="en-GB"/>
        </w:rPr>
        <w:t>of 17 December 2024</w:t>
      </w:r>
      <w:r>
        <w:rPr>
          <w:lang w:eastAsia="en-GB"/>
        </w:rPr>
        <w:t xml:space="preserve"> </w:t>
      </w:r>
      <w:r w:rsidR="003310BA" w:rsidRPr="003310BA">
        <w:rPr>
          <w:lang w:eastAsia="en-GB"/>
        </w:rPr>
        <w:t xml:space="preserve">for evidence </w:t>
      </w:r>
      <w:r w:rsidR="00540E71">
        <w:rPr>
          <w:lang w:eastAsia="en-GB"/>
        </w:rPr>
        <w:t>on the G</w:t>
      </w:r>
      <w:r w:rsidR="00EC58ED">
        <w:rPr>
          <w:lang w:eastAsia="en-GB"/>
        </w:rPr>
        <w:t xml:space="preserve">overnment’s new approach to legacy </w:t>
      </w:r>
      <w:r w:rsidR="00FC232F">
        <w:rPr>
          <w:lang w:eastAsia="en-GB"/>
        </w:rPr>
        <w:t>and submit the following letter and attachment</w:t>
      </w:r>
      <w:r w:rsidR="003310BA" w:rsidRPr="003310BA">
        <w:rPr>
          <w:lang w:eastAsia="en-GB"/>
        </w:rPr>
        <w:t xml:space="preserve"> on behalf of the Malone House Group</w:t>
      </w:r>
      <w:r w:rsidR="00EC58ED">
        <w:rPr>
          <w:lang w:eastAsia="en-GB"/>
        </w:rPr>
        <w:t xml:space="preserve"> (MHG)</w:t>
      </w:r>
      <w:r w:rsidR="003310BA" w:rsidRPr="003310BA">
        <w:rPr>
          <w:lang w:eastAsia="en-GB"/>
        </w:rPr>
        <w:t>. </w:t>
      </w:r>
      <w:r w:rsidR="00540E71">
        <w:rPr>
          <w:lang w:eastAsia="en-GB"/>
        </w:rPr>
        <w:t xml:space="preserve">We operate out of Belfast </w:t>
      </w:r>
      <w:r>
        <w:rPr>
          <w:lang w:eastAsia="en-GB"/>
        </w:rPr>
        <w:t xml:space="preserve">and London </w:t>
      </w:r>
      <w:r w:rsidR="00540E71">
        <w:rPr>
          <w:lang w:eastAsia="en-GB"/>
        </w:rPr>
        <w:t xml:space="preserve">and have had extensive involvement </w:t>
      </w:r>
      <w:r w:rsidR="000E19D9">
        <w:rPr>
          <w:lang w:eastAsia="en-GB"/>
        </w:rPr>
        <w:t xml:space="preserve">over five years </w:t>
      </w:r>
      <w:r w:rsidR="00C048BE">
        <w:rPr>
          <w:lang w:eastAsia="en-GB"/>
        </w:rPr>
        <w:t xml:space="preserve">not just locally but </w:t>
      </w:r>
      <w:r w:rsidR="00540E71">
        <w:rPr>
          <w:lang w:eastAsia="en-GB"/>
        </w:rPr>
        <w:t>as an NGO with the Committee of Ministers at the Council of Europe in Strasbourg.</w:t>
      </w:r>
    </w:p>
    <w:p w:rsidR="00C048BE" w:rsidRDefault="00EC58ED" w:rsidP="00252DF2">
      <w:pPr>
        <w:pStyle w:val="NoSpacing"/>
        <w:jc w:val="both"/>
      </w:pPr>
      <w:r>
        <w:t xml:space="preserve">As you may know, Austen Morgan </w:t>
      </w:r>
      <w:r w:rsidR="00C678A3">
        <w:t xml:space="preserve">and I </w:t>
      </w:r>
      <w:r>
        <w:t>appeared before the Committee in June 2022</w:t>
      </w:r>
      <w:r w:rsidR="00252DF2">
        <w:t>,</w:t>
      </w:r>
      <w:r>
        <w:t xml:space="preserve"> for </w:t>
      </w:r>
      <w:r w:rsidR="00540E71">
        <w:t>the Group</w:t>
      </w:r>
      <w:r w:rsidR="00252DF2">
        <w:t>,</w:t>
      </w:r>
      <w:r w:rsidR="00540E71">
        <w:t xml:space="preserve"> t</w:t>
      </w:r>
      <w:r>
        <w:t xml:space="preserve">o discuss the then government’s new proposals which ultimately became the 2023 Legacy Act. </w:t>
      </w:r>
    </w:p>
    <w:p w:rsidR="00C678A3" w:rsidRDefault="00EC58ED" w:rsidP="00252DF2">
      <w:pPr>
        <w:pStyle w:val="NoSpacing"/>
        <w:jc w:val="both"/>
      </w:pPr>
      <w:r>
        <w:t>We participated extensively in the legislative process in the House of Lords during the Bill’s passage and ultimately gave the Act and ICRIR critical support. Obviously</w:t>
      </w:r>
      <w:r w:rsidR="00252DF2">
        <w:t>,</w:t>
      </w:r>
      <w:r>
        <w:t xml:space="preserve"> we are seriously concerned at the dismantling of the </w:t>
      </w:r>
      <w:r w:rsidR="00C678A3">
        <w:t>legislation</w:t>
      </w:r>
      <w:r w:rsidR="00540E71">
        <w:t>,</w:t>
      </w:r>
      <w:r>
        <w:t xml:space="preserve"> both by the courts in Belfast</w:t>
      </w:r>
      <w:r w:rsidR="00C678A3">
        <w:t>,</w:t>
      </w:r>
      <w:r>
        <w:t xml:space="preserve"> and </w:t>
      </w:r>
      <w:r w:rsidR="00C048BE">
        <w:t xml:space="preserve">by </w:t>
      </w:r>
      <w:r>
        <w:t xml:space="preserve">the incoming </w:t>
      </w:r>
      <w:r w:rsidR="00540E71">
        <w:t>G</w:t>
      </w:r>
      <w:r>
        <w:t>overnment</w:t>
      </w:r>
      <w:r w:rsidR="00DD04A5">
        <w:t>,</w:t>
      </w:r>
      <w:r w:rsidR="00540E71">
        <w:t xml:space="preserve"> </w:t>
      </w:r>
      <w:r w:rsidR="00C048BE">
        <w:t>and</w:t>
      </w:r>
      <w:r w:rsidR="00540E71">
        <w:t xml:space="preserve"> its propos</w:t>
      </w:r>
      <w:r w:rsidR="00C048BE">
        <w:t>ed</w:t>
      </w:r>
      <w:r w:rsidR="00540E71">
        <w:t xml:space="preserve"> intended replacement</w:t>
      </w:r>
      <w:r>
        <w:t>.</w:t>
      </w:r>
      <w:r w:rsidR="00240B54">
        <w:t xml:space="preserve"> </w:t>
      </w:r>
      <w:r w:rsidR="00DD04A5">
        <w:t>This will be a three-to-</w:t>
      </w:r>
      <w:r w:rsidR="00C048BE">
        <w:t xml:space="preserve">four </w:t>
      </w:r>
      <w:r w:rsidR="00C678A3">
        <w:t>year process which will ultimately fail to satisfy the political parties or the legacy practitioners, let alone victims’ group</w:t>
      </w:r>
      <w:r w:rsidR="00DD04A5">
        <w:t>s</w:t>
      </w:r>
      <w:r w:rsidR="00DD04A5" w:rsidRPr="00DD04A5">
        <w:t xml:space="preserve"> –</w:t>
      </w:r>
      <w:r w:rsidR="00DD04A5">
        <w:t xml:space="preserve"> </w:t>
      </w:r>
      <w:r w:rsidR="00252DF2">
        <w:t xml:space="preserve">which only represent some 15% of bereaved families according to the </w:t>
      </w:r>
      <w:proofErr w:type="spellStart"/>
      <w:r w:rsidR="00252DF2">
        <w:t>CVSNI</w:t>
      </w:r>
      <w:proofErr w:type="spellEnd"/>
      <w:r w:rsidR="00252DF2">
        <w:t xml:space="preserve"> Commissioner.</w:t>
      </w:r>
      <w:r w:rsidR="00C048BE">
        <w:t xml:space="preserve"> The future costs </w:t>
      </w:r>
      <w:r w:rsidR="00252DF2">
        <w:t xml:space="preserve">of </w:t>
      </w:r>
      <w:r w:rsidR="00DD04A5">
        <w:t xml:space="preserve">allowing </w:t>
      </w:r>
      <w:r w:rsidR="00252DF2">
        <w:t xml:space="preserve">more inquests and civil suits </w:t>
      </w:r>
      <w:r w:rsidR="00C048BE">
        <w:t>will also be enormous and paid largely by taxpayers in England.</w:t>
      </w:r>
    </w:p>
    <w:p w:rsidR="00240B54" w:rsidRDefault="00240B54" w:rsidP="00252DF2">
      <w:pPr>
        <w:pStyle w:val="NoSpacing"/>
        <w:jc w:val="both"/>
      </w:pPr>
      <w:r>
        <w:t>MHG favours drawing a line under the Troubles as has every government</w:t>
      </w:r>
      <w:r w:rsidR="00252DF2">
        <w:t>,</w:t>
      </w:r>
      <w:r>
        <w:t xml:space="preserve"> north and south</w:t>
      </w:r>
      <w:r w:rsidR="00252DF2">
        <w:t>,</w:t>
      </w:r>
      <w:r>
        <w:t xml:space="preserve"> and in London</w:t>
      </w:r>
      <w:r w:rsidR="00310644">
        <w:t>,</w:t>
      </w:r>
      <w:r>
        <w:t xml:space="preserve"> since the 1920s</w:t>
      </w:r>
      <w:r w:rsidR="00DD31AA">
        <w:t xml:space="preserve"> (see list below)</w:t>
      </w:r>
      <w:r>
        <w:t>. This is something nobody else dares say although it has large public support in Northern Ireland</w:t>
      </w:r>
      <w:r w:rsidR="00C048BE">
        <w:t xml:space="preserve"> –</w:t>
      </w:r>
      <w:r>
        <w:t xml:space="preserve"> approaching 40% in one opinion poll. We</w:t>
      </w:r>
      <w:r w:rsidR="00540E71">
        <w:t xml:space="preserve"> therefore </w:t>
      </w:r>
      <w:r w:rsidR="00310644">
        <w:t xml:space="preserve">are willing to </w:t>
      </w:r>
      <w:r>
        <w:t>use the word amnesty given there have been so many since the 1998 Agreement.</w:t>
      </w:r>
      <w:r w:rsidR="00407F79">
        <w:t xml:space="preserve"> A list is appended to this letter.</w:t>
      </w:r>
    </w:p>
    <w:p w:rsidR="00540E71" w:rsidRDefault="00240B54" w:rsidP="00252DF2">
      <w:pPr>
        <w:pStyle w:val="NoSpacing"/>
        <w:jc w:val="both"/>
      </w:pPr>
      <w:r>
        <w:t xml:space="preserve">The new body, ICRIR, is seriously undermined by the </w:t>
      </w:r>
      <w:r w:rsidR="00540E71">
        <w:t>G</w:t>
      </w:r>
      <w:r>
        <w:t xml:space="preserve">overnment’s </w:t>
      </w:r>
      <w:r w:rsidR="00540E71">
        <w:t>policies</w:t>
      </w:r>
      <w:r>
        <w:t xml:space="preserve"> and its </w:t>
      </w:r>
      <w:r w:rsidR="00D252E6">
        <w:t>future</w:t>
      </w:r>
      <w:r>
        <w:t xml:space="preserve"> </w:t>
      </w:r>
      <w:r w:rsidR="00C678A3">
        <w:t>must be</w:t>
      </w:r>
      <w:r w:rsidR="00540E71">
        <w:t xml:space="preserve"> </w:t>
      </w:r>
      <w:r>
        <w:t>at risk. We have given strong support to ICRIR’s information recovery powers and the related official history project which we believe to be the only real pat</w:t>
      </w:r>
      <w:r w:rsidR="00540E71">
        <w:t xml:space="preserve">h to </w:t>
      </w:r>
      <w:r>
        <w:t>reconciliation</w:t>
      </w:r>
      <w:r w:rsidR="00540E71">
        <w:t xml:space="preserve"> in Northern Ireland.</w:t>
      </w:r>
      <w:r w:rsidR="00D252E6">
        <w:t xml:space="preserve"> Repeal encourages c</w:t>
      </w:r>
      <w:r>
        <w:t>ontinued lawfare</w:t>
      </w:r>
      <w:r w:rsidR="00D252E6">
        <w:t xml:space="preserve"> and the demand for ever more inquiries into state killings</w:t>
      </w:r>
      <w:r>
        <w:t xml:space="preserve"> </w:t>
      </w:r>
      <w:r w:rsidR="00D252E6">
        <w:t xml:space="preserve">which </w:t>
      </w:r>
      <w:r>
        <w:t xml:space="preserve">only exacerbates community </w:t>
      </w:r>
      <w:r w:rsidR="00540E71">
        <w:t>tensions</w:t>
      </w:r>
      <w:r w:rsidR="00D252E6">
        <w:t xml:space="preserve"> that,</w:t>
      </w:r>
      <w:r>
        <w:t xml:space="preserve"> </w:t>
      </w:r>
      <w:r w:rsidR="00C678A3">
        <w:t>we must warn</w:t>
      </w:r>
      <w:r w:rsidR="00C048BE">
        <w:t>,</w:t>
      </w:r>
      <w:r w:rsidR="00C678A3">
        <w:t xml:space="preserve"> </w:t>
      </w:r>
      <w:r>
        <w:t>are growing.</w:t>
      </w:r>
      <w:r w:rsidR="00540E71">
        <w:t xml:space="preserve"> </w:t>
      </w:r>
    </w:p>
    <w:p w:rsidR="00EC58ED" w:rsidRDefault="00540E71" w:rsidP="00252DF2">
      <w:pPr>
        <w:pStyle w:val="NoSpacing"/>
        <w:jc w:val="both"/>
      </w:pPr>
      <w:r>
        <w:t>The proposal that ICRIR takes over the role of coroner in dealing with outstanding legacy inquests is one that needs examined although it may end up largely replicating the normal process</w:t>
      </w:r>
      <w:r w:rsidR="00C678A3">
        <w:t>es</w:t>
      </w:r>
      <w:r>
        <w:t>. If such inquests can ag</w:t>
      </w:r>
      <w:r w:rsidR="00C048BE">
        <w:t>ain be re</w:t>
      </w:r>
      <w:r>
        <w:t xml:space="preserve">opened </w:t>
      </w:r>
      <w:r w:rsidR="00C048BE">
        <w:t>–</w:t>
      </w:r>
      <w:r>
        <w:t xml:space="preserve"> and hundreds will be </w:t>
      </w:r>
      <w:r w:rsidR="00C678A3">
        <w:t>–</w:t>
      </w:r>
      <w:r>
        <w:t xml:space="preserve"> </w:t>
      </w:r>
      <w:r w:rsidR="00C678A3">
        <w:t xml:space="preserve">it </w:t>
      </w:r>
      <w:r w:rsidR="00C048BE">
        <w:t xml:space="preserve">means </w:t>
      </w:r>
      <w:r>
        <w:t>that any</w:t>
      </w:r>
      <w:r w:rsidR="00C048BE">
        <w:t xml:space="preserve"> </w:t>
      </w:r>
      <w:r w:rsidR="00D252E6">
        <w:t xml:space="preserve">ICRIR </w:t>
      </w:r>
      <w:r w:rsidR="00C048BE">
        <w:t>coronial</w:t>
      </w:r>
      <w:r>
        <w:t xml:space="preserve"> role could be unlimited in time terms.</w:t>
      </w:r>
    </w:p>
    <w:p w:rsidR="00EC58ED" w:rsidRDefault="00EC58ED" w:rsidP="00252DF2">
      <w:pPr>
        <w:pStyle w:val="NoSpacing"/>
        <w:jc w:val="both"/>
      </w:pPr>
      <w:r>
        <w:t xml:space="preserve">There is no other group </w:t>
      </w:r>
      <w:r w:rsidR="00C048BE">
        <w:t xml:space="preserve">in Northern Ireland – </w:t>
      </w:r>
      <w:r>
        <w:t xml:space="preserve">legal, academic or </w:t>
      </w:r>
      <w:r w:rsidR="00240B54">
        <w:t>historical</w:t>
      </w:r>
      <w:r>
        <w:t xml:space="preserve"> </w:t>
      </w:r>
      <w:r w:rsidR="00C048BE">
        <w:t>–</w:t>
      </w:r>
      <w:r>
        <w:t xml:space="preserve"> </w:t>
      </w:r>
      <w:r w:rsidR="00C048BE">
        <w:t xml:space="preserve">that takes up the Malone House Group position. We receive </w:t>
      </w:r>
      <w:r>
        <w:t>no funding</w:t>
      </w:r>
      <w:r w:rsidR="00D252E6">
        <w:t xml:space="preserve"> unlike Queen’s U</w:t>
      </w:r>
      <w:r w:rsidR="00C048BE">
        <w:t>niversity who campaign so vigorously</w:t>
      </w:r>
      <w:r w:rsidR="00D252E6">
        <w:t xml:space="preserve"> with</w:t>
      </w:r>
      <w:r w:rsidR="00C048BE">
        <w:t xml:space="preserve"> the Dublin government</w:t>
      </w:r>
      <w:r w:rsidR="00D252E6">
        <w:t xml:space="preserve"> for Article 2 compliant re-investigations, and of course for the Irish inter-state case at the European Court</w:t>
      </w:r>
      <w:r w:rsidR="002E3CB8">
        <w:t xml:space="preserve"> in Strasbourg</w:t>
      </w:r>
      <w:r w:rsidR="00C048BE">
        <w:t>.</w:t>
      </w:r>
    </w:p>
    <w:p w:rsidR="00D67D34" w:rsidRDefault="003310BA" w:rsidP="00407F79">
      <w:pPr>
        <w:pStyle w:val="NoSpacing"/>
        <w:jc w:val="both"/>
        <w:rPr>
          <w:rFonts w:eastAsia="Times New Roman"/>
          <w:lang w:eastAsia="en-GB"/>
        </w:rPr>
      </w:pPr>
      <w:r w:rsidRPr="003310BA">
        <w:rPr>
          <w:rFonts w:eastAsia="Times New Roman"/>
          <w:lang w:eastAsia="en-GB"/>
        </w:rPr>
        <w:lastRenderedPageBreak/>
        <w:t>Th</w:t>
      </w:r>
      <w:r w:rsidR="00D252E6">
        <w:rPr>
          <w:rFonts w:eastAsia="Times New Roman"/>
          <w:lang w:eastAsia="en-GB"/>
        </w:rPr>
        <w:t xml:space="preserve">e </w:t>
      </w:r>
      <w:r w:rsidR="00407F79">
        <w:rPr>
          <w:rFonts w:eastAsia="Times New Roman"/>
          <w:lang w:eastAsia="en-GB"/>
        </w:rPr>
        <w:t>linked</w:t>
      </w:r>
      <w:r w:rsidR="00D252E6">
        <w:rPr>
          <w:rFonts w:eastAsia="Times New Roman"/>
          <w:lang w:eastAsia="en-GB"/>
        </w:rPr>
        <w:t xml:space="preserve"> </w:t>
      </w:r>
      <w:r w:rsidR="00D67D34">
        <w:rPr>
          <w:rFonts w:eastAsia="Times New Roman"/>
          <w:lang w:eastAsia="en-GB"/>
        </w:rPr>
        <w:t xml:space="preserve">2023 </w:t>
      </w:r>
      <w:r w:rsidR="00D252E6">
        <w:rPr>
          <w:rFonts w:eastAsia="Times New Roman"/>
          <w:lang w:eastAsia="en-GB"/>
        </w:rPr>
        <w:t xml:space="preserve">paper </w:t>
      </w:r>
      <w:r w:rsidRPr="003310BA">
        <w:rPr>
          <w:rFonts w:eastAsia="Times New Roman"/>
          <w:lang w:eastAsia="en-GB"/>
        </w:rPr>
        <w:t>is submitted a</w:t>
      </w:r>
      <w:r w:rsidR="002E3CB8">
        <w:rPr>
          <w:rFonts w:eastAsia="Times New Roman"/>
          <w:lang w:eastAsia="en-GB"/>
        </w:rPr>
        <w:t>s an official statement of the G</w:t>
      </w:r>
      <w:r w:rsidRPr="003310BA">
        <w:rPr>
          <w:rFonts w:eastAsia="Times New Roman"/>
          <w:lang w:eastAsia="en-GB"/>
        </w:rPr>
        <w:t xml:space="preserve">roup on the difficult issue of </w:t>
      </w:r>
      <w:r w:rsidR="00BA1EA9">
        <w:rPr>
          <w:rFonts w:eastAsia="Times New Roman"/>
          <w:lang w:eastAsia="en-GB"/>
        </w:rPr>
        <w:t xml:space="preserve">ECHR </w:t>
      </w:r>
      <w:r w:rsidR="00252DF2">
        <w:rPr>
          <w:rFonts w:eastAsia="Times New Roman"/>
          <w:lang w:eastAsia="en-GB"/>
        </w:rPr>
        <w:t>‘</w:t>
      </w:r>
      <w:r w:rsidR="00BA1EA9">
        <w:rPr>
          <w:rFonts w:eastAsia="Times New Roman"/>
          <w:lang w:eastAsia="en-GB"/>
        </w:rPr>
        <w:t>A</w:t>
      </w:r>
      <w:r w:rsidRPr="003310BA">
        <w:rPr>
          <w:rFonts w:eastAsia="Times New Roman"/>
          <w:lang w:eastAsia="en-GB"/>
        </w:rPr>
        <w:t>rticle 2</w:t>
      </w:r>
      <w:r w:rsidR="00BA1EA9">
        <w:rPr>
          <w:rFonts w:eastAsia="Times New Roman"/>
          <w:lang w:eastAsia="en-GB"/>
        </w:rPr>
        <w:t xml:space="preserve"> procedural</w:t>
      </w:r>
      <w:r w:rsidR="00252DF2">
        <w:rPr>
          <w:rFonts w:eastAsia="Times New Roman"/>
          <w:lang w:eastAsia="en-GB"/>
        </w:rPr>
        <w:t>’</w:t>
      </w:r>
      <w:r w:rsidR="00BA1EA9">
        <w:rPr>
          <w:rFonts w:eastAsia="Times New Roman"/>
          <w:lang w:eastAsia="en-GB"/>
        </w:rPr>
        <w:t xml:space="preserve"> where we, perhaps </w:t>
      </w:r>
      <w:r w:rsidR="00EC58ED">
        <w:rPr>
          <w:rFonts w:eastAsia="Times New Roman"/>
          <w:lang w:eastAsia="en-GB"/>
        </w:rPr>
        <w:t>alone</w:t>
      </w:r>
      <w:r w:rsidR="00BA1EA9">
        <w:rPr>
          <w:rFonts w:eastAsia="Times New Roman"/>
          <w:lang w:eastAsia="en-GB"/>
        </w:rPr>
        <w:t xml:space="preserve">, in Northern Ireland dispute the </w:t>
      </w:r>
      <w:r w:rsidR="00EC58ED">
        <w:rPr>
          <w:rFonts w:eastAsia="Times New Roman"/>
          <w:lang w:eastAsia="en-GB"/>
        </w:rPr>
        <w:t xml:space="preserve">legal basis of the </w:t>
      </w:r>
      <w:r w:rsidR="00BA1EA9">
        <w:rPr>
          <w:rFonts w:eastAsia="Times New Roman"/>
          <w:lang w:eastAsia="en-GB"/>
        </w:rPr>
        <w:t>‘Article 2 compliance’ dogma</w:t>
      </w:r>
      <w:r w:rsidRPr="003310BA">
        <w:rPr>
          <w:rFonts w:eastAsia="Times New Roman"/>
          <w:lang w:eastAsia="en-GB"/>
        </w:rPr>
        <w:t>.</w:t>
      </w:r>
      <w:r w:rsidR="00EC58ED" w:rsidRPr="00EC58ED">
        <w:rPr>
          <w:rFonts w:eastAsia="Times New Roman"/>
          <w:lang w:eastAsia="en-GB"/>
        </w:rPr>
        <w:t xml:space="preserve"> </w:t>
      </w:r>
    </w:p>
    <w:p w:rsidR="00407F79" w:rsidRDefault="00407F79" w:rsidP="00407F79">
      <w:pPr>
        <w:pStyle w:val="NoSpacing"/>
        <w:jc w:val="both"/>
        <w:rPr>
          <w:i/>
          <w:iCs/>
        </w:rPr>
      </w:pPr>
      <w:r>
        <w:rPr>
          <w:rFonts w:eastAsia="Times New Roman"/>
          <w:lang w:eastAsia="en-GB"/>
        </w:rPr>
        <w:t xml:space="preserve">It is entitled </w:t>
      </w:r>
      <w:r w:rsidR="00BE313A">
        <w:rPr>
          <w:i/>
          <w:iCs/>
        </w:rPr>
        <w:t>The Northern Ireland Troubles: Strasbourg's Article 2</w:t>
      </w:r>
      <w:r>
        <w:rPr>
          <w:i/>
          <w:iCs/>
        </w:rPr>
        <w:t xml:space="preserve"> in Legacy Cases – A Legal Essay. </w:t>
      </w:r>
    </w:p>
    <w:p w:rsidR="00407F79" w:rsidRDefault="00DD2D4A" w:rsidP="00407F79">
      <w:pPr>
        <w:pStyle w:val="NoSpacing"/>
        <w:jc w:val="both"/>
        <w:rPr>
          <w:i/>
          <w:iCs/>
        </w:rPr>
      </w:pPr>
      <w:hyperlink r:id="rId9" w:history="1">
        <w:r w:rsidR="00407F79" w:rsidRPr="00BA70A4">
          <w:rPr>
            <w:rStyle w:val="Hyperlink"/>
          </w:rPr>
          <w:t>https://austenmorgan.com/wp-content/uploads/2023/12/northern-ireland-troubles-pdf-version.pdf</w:t>
        </w:r>
      </w:hyperlink>
    </w:p>
    <w:p w:rsidR="00407F79" w:rsidRDefault="00407F79" w:rsidP="00407F79">
      <w:pPr>
        <w:pStyle w:val="NoSpacing"/>
        <w:jc w:val="both"/>
      </w:pPr>
      <w:r w:rsidRPr="00407F79">
        <w:t>B</w:t>
      </w:r>
      <w:r w:rsidR="00252DF2" w:rsidRPr="00407F79">
        <w:t xml:space="preserve">elow </w:t>
      </w:r>
      <w:r w:rsidR="00D67D34">
        <w:t xml:space="preserve">also </w:t>
      </w:r>
      <w:r w:rsidR="000167D6" w:rsidRPr="00407F79">
        <w:t>is</w:t>
      </w:r>
      <w:r w:rsidR="00707C30" w:rsidRPr="00407F79">
        <w:t xml:space="preserve"> </w:t>
      </w:r>
      <w:r w:rsidR="00DD04A5" w:rsidRPr="00407F79">
        <w:t>part of</w:t>
      </w:r>
      <w:r w:rsidR="00252DF2" w:rsidRPr="00407F79">
        <w:t xml:space="preserve"> </w:t>
      </w:r>
      <w:r w:rsidR="009020AC" w:rsidRPr="00407F79">
        <w:t xml:space="preserve">our submission </w:t>
      </w:r>
      <w:r w:rsidR="00707C30" w:rsidRPr="00407F79">
        <w:t>to the Committee of Ministers in Strasbourg</w:t>
      </w:r>
      <w:r w:rsidR="000B2B4C" w:rsidRPr="00407F79">
        <w:t xml:space="preserve"> in July 2023 on Article 2 and its jurisprudence</w:t>
      </w:r>
      <w:r w:rsidR="00D67D34">
        <w:t xml:space="preserve"> in relation to the McKerr Group of Cases</w:t>
      </w:r>
      <w:r w:rsidR="00BE313A" w:rsidRPr="00407F79">
        <w:t>. T</w:t>
      </w:r>
      <w:r w:rsidR="000B2B4C" w:rsidRPr="00407F79">
        <w:t xml:space="preserve">he government’s new legacy policy </w:t>
      </w:r>
      <w:r w:rsidR="00BE313A" w:rsidRPr="00407F79">
        <w:t xml:space="preserve">depends </w:t>
      </w:r>
      <w:r w:rsidR="000B2B4C" w:rsidRPr="00407F79">
        <w:t xml:space="preserve">almost entirely </w:t>
      </w:r>
      <w:r w:rsidR="00BE313A" w:rsidRPr="00407F79">
        <w:t xml:space="preserve">on this Strasbourg jurisprudence – as does the Belfast judiciary – </w:t>
      </w:r>
      <w:r w:rsidR="00BE313A" w:rsidRPr="00407F79">
        <w:softHyphen/>
        <w:t>and is</w:t>
      </w:r>
      <w:r w:rsidR="000B2B4C" w:rsidRPr="00407F79">
        <w:t xml:space="preserve"> its justification for removing large sections of the Legacy Act</w:t>
      </w:r>
      <w:r w:rsidR="00252DF2" w:rsidRPr="00407F79">
        <w:t>. This is</w:t>
      </w:r>
      <w:r w:rsidR="000B2B4C" w:rsidRPr="00407F79">
        <w:t xml:space="preserve"> </w:t>
      </w:r>
      <w:r w:rsidR="00252DF2" w:rsidRPr="00407F79">
        <w:t xml:space="preserve">to be effected </w:t>
      </w:r>
      <w:r w:rsidR="000B2B4C" w:rsidRPr="00407F79">
        <w:t>by way of its now tabled draft Remedial Order</w:t>
      </w:r>
      <w:r w:rsidR="00252DF2" w:rsidRPr="00407F79">
        <w:t xml:space="preserve"> which is</w:t>
      </w:r>
      <w:r w:rsidR="00EC58ED" w:rsidRPr="00407F79">
        <w:t xml:space="preserve"> the subject of a separate inquiry by the Joint C</w:t>
      </w:r>
      <w:r w:rsidR="009020AC" w:rsidRPr="00407F79">
        <w:t>ommittee on Human Rights</w:t>
      </w:r>
      <w:r w:rsidR="00D67D34">
        <w:t>:</w:t>
      </w:r>
    </w:p>
    <w:p w:rsidR="00407F79" w:rsidRDefault="00407F79" w:rsidP="00407F79">
      <w:pPr>
        <w:pStyle w:val="NoSpacing"/>
        <w:jc w:val="both"/>
        <w:rPr>
          <w:color w:val="000000"/>
        </w:rPr>
      </w:pPr>
    </w:p>
    <w:p w:rsidR="00707C30" w:rsidRPr="00D67D34" w:rsidRDefault="000167D6" w:rsidP="00D67D34">
      <w:pPr>
        <w:pStyle w:val="NoSpacing"/>
        <w:jc w:val="both"/>
        <w:rPr>
          <w:sz w:val="20"/>
          <w:szCs w:val="20"/>
        </w:rPr>
      </w:pPr>
      <w:r w:rsidRPr="00D67D34">
        <w:rPr>
          <w:sz w:val="20"/>
          <w:szCs w:val="20"/>
        </w:rPr>
        <w:t>“L</w:t>
      </w:r>
      <w:r w:rsidR="00707C30" w:rsidRPr="00D67D34">
        <w:rPr>
          <w:sz w:val="20"/>
          <w:szCs w:val="20"/>
        </w:rPr>
        <w:t>egal opinion on the contribution of the European Court of Human Rights in Strasbourg to reconciliation in Northern Ireland and the response that is developing in UK legacy law and practice</w:t>
      </w:r>
      <w:r w:rsidRPr="00D67D34">
        <w:rPr>
          <w:sz w:val="20"/>
          <w:szCs w:val="20"/>
        </w:rPr>
        <w:t>. It</w:t>
      </w:r>
      <w:r w:rsidR="00707C30" w:rsidRPr="00D67D34">
        <w:rPr>
          <w:sz w:val="20"/>
          <w:szCs w:val="20"/>
        </w:rPr>
        <w:t xml:space="preserve"> takes the form of examining the Court’s jurisprudence on what is a new human right, Article 2 procedural, and on amnesties and their history in both parts of Ireland.</w:t>
      </w:r>
    </w:p>
    <w:p w:rsidR="00707C30" w:rsidRPr="000B2B4C" w:rsidRDefault="00707C30" w:rsidP="00407F79">
      <w:pPr>
        <w:pStyle w:val="NoSpacing"/>
        <w:jc w:val="both"/>
        <w:rPr>
          <w:sz w:val="20"/>
          <w:szCs w:val="20"/>
        </w:rPr>
      </w:pPr>
      <w:r w:rsidRPr="000B2B4C">
        <w:rPr>
          <w:sz w:val="20"/>
          <w:szCs w:val="20"/>
        </w:rPr>
        <w:t xml:space="preserve">One view of the Court’s jurisprudence, associated with northern nationalists, and supported by the Irish government, is that Article 2 procedural is fundamental. This flows, it is argued, from the McKerr Group of Cases judged at Strasbourg from May 2001. </w:t>
      </w:r>
    </w:p>
    <w:p w:rsidR="00707C30" w:rsidRPr="000B2B4C" w:rsidRDefault="00707C30" w:rsidP="00407F79">
      <w:pPr>
        <w:pStyle w:val="NoSpacing"/>
        <w:jc w:val="both"/>
        <w:rPr>
          <w:sz w:val="20"/>
          <w:szCs w:val="20"/>
        </w:rPr>
      </w:pPr>
      <w:r w:rsidRPr="000B2B4C">
        <w:rPr>
          <w:sz w:val="20"/>
          <w:szCs w:val="20"/>
        </w:rPr>
        <w:t>It has led domestically to what is called ‘lawfare’, in which the history of the Northern Ireland Troubles (1968-98) is rewritten as simply a series of abuses of state power. Proponents cite the Secretariat of the Committee of Ministers’ singular characterisation of its Northern Ireland cases as: “…investigations into the deaths of the applicants’ next-of-kin in Northern Ireland in the 1980s and 1990s, either during security force operations or in circumstances giving rise to suspicion of collusion in their deaths by security force personnel.”</w:t>
      </w:r>
    </w:p>
    <w:p w:rsidR="00407F79" w:rsidRDefault="00707C30" w:rsidP="00407F79">
      <w:pPr>
        <w:pStyle w:val="NoSpacing"/>
        <w:jc w:val="both"/>
        <w:rPr>
          <w:sz w:val="20"/>
          <w:szCs w:val="20"/>
        </w:rPr>
      </w:pPr>
      <w:r w:rsidRPr="000B2B4C">
        <w:rPr>
          <w:sz w:val="20"/>
          <w:szCs w:val="20"/>
        </w:rPr>
        <w:t xml:space="preserve">The Malone House Group is the leading legacy NGO in opposition to this inaccurate historical view. It takes its steer from the McKerr line of cases, this time in the UK House of Lords/Supreme Court, from March 2004. It refers to the Human Rights Act 1998 which only came into force in the UK on 2 October 2000, and to the related domestic jurisprudence. </w:t>
      </w:r>
    </w:p>
    <w:p w:rsidR="00707C30" w:rsidRDefault="00707C30" w:rsidP="00407F79">
      <w:pPr>
        <w:pStyle w:val="NoSpacing"/>
        <w:jc w:val="both"/>
        <w:rPr>
          <w:sz w:val="20"/>
          <w:szCs w:val="20"/>
        </w:rPr>
      </w:pPr>
      <w:r w:rsidRPr="000B2B4C">
        <w:rPr>
          <w:i/>
          <w:iCs/>
          <w:sz w:val="20"/>
          <w:szCs w:val="20"/>
        </w:rPr>
        <w:t xml:space="preserve">In re McQuillan </w:t>
      </w:r>
      <w:r w:rsidRPr="000B2B4C">
        <w:rPr>
          <w:sz w:val="20"/>
          <w:szCs w:val="20"/>
        </w:rPr>
        <w:t>[2021] UKSC 55 [2022] AC 1063 is domestic authority for there being no retrospective obligation on the UK to investigate or, more accurately, re-investigate Northern Ireland Troubles killings – save for a controversial Strasbourg-inspired push-back of ten (or twelve?) years from 2 October 2000 (which may well have to be considered properly by the Supreme Court in a future case).”</w:t>
      </w:r>
      <w:r w:rsidR="000B2B4C" w:rsidRPr="000B2B4C">
        <w:rPr>
          <w:rStyle w:val="FootnoteReference"/>
          <w:sz w:val="20"/>
          <w:szCs w:val="20"/>
        </w:rPr>
        <w:t xml:space="preserve"> </w:t>
      </w:r>
      <w:r w:rsidR="000B2B4C" w:rsidRPr="000B2B4C">
        <w:rPr>
          <w:sz w:val="20"/>
          <w:szCs w:val="20"/>
        </w:rPr>
        <w:t xml:space="preserve">(Based upon: </w:t>
      </w:r>
      <w:r w:rsidR="000B2B4C" w:rsidRPr="000B2B4C">
        <w:rPr>
          <w:i/>
          <w:iCs/>
          <w:sz w:val="20"/>
          <w:szCs w:val="20"/>
        </w:rPr>
        <w:t xml:space="preserve">Silih v Slovenia </w:t>
      </w:r>
      <w:r w:rsidR="000B2B4C" w:rsidRPr="000B2B4C">
        <w:rPr>
          <w:sz w:val="20"/>
          <w:szCs w:val="20"/>
        </w:rPr>
        <w:t xml:space="preserve">(2009) 49 EHRR 37; and </w:t>
      </w:r>
      <w:r w:rsidR="000B2B4C" w:rsidRPr="000B2B4C">
        <w:rPr>
          <w:i/>
          <w:iCs/>
          <w:sz w:val="20"/>
          <w:szCs w:val="20"/>
        </w:rPr>
        <w:t xml:space="preserve">Janowiec v Russia </w:t>
      </w:r>
      <w:r w:rsidR="00252DF2">
        <w:rPr>
          <w:sz w:val="20"/>
          <w:szCs w:val="20"/>
        </w:rPr>
        <w:t>(2014) 58 EHRR 30</w:t>
      </w:r>
      <w:r w:rsidR="00D67D34">
        <w:rPr>
          <w:sz w:val="20"/>
          <w:szCs w:val="20"/>
        </w:rPr>
        <w:t>)</w:t>
      </w:r>
      <w:r w:rsidR="00252DF2">
        <w:rPr>
          <w:sz w:val="20"/>
          <w:szCs w:val="20"/>
        </w:rPr>
        <w:t>.</w:t>
      </w:r>
    </w:p>
    <w:p w:rsidR="00D252E6" w:rsidRDefault="00946F95" w:rsidP="00D252E6">
      <w:pPr>
        <w:spacing w:before="100" w:beforeAutospacing="1" w:after="100" w:afterAutospacing="1" w:line="240" w:lineRule="auto"/>
        <w:jc w:val="both"/>
      </w:pPr>
      <w:r w:rsidRPr="00946F95">
        <w:t xml:space="preserve">We are more than happy to speak to the </w:t>
      </w:r>
      <w:r w:rsidR="000167D6">
        <w:t>N</w:t>
      </w:r>
      <w:r w:rsidR="00D252E6">
        <w:t xml:space="preserve">orthern </w:t>
      </w:r>
      <w:r w:rsidR="00252DF2">
        <w:t>Ireland</w:t>
      </w:r>
      <w:r w:rsidR="000167D6">
        <w:t xml:space="preserve"> Affairs C</w:t>
      </w:r>
      <w:r w:rsidRPr="00946F95">
        <w:t xml:space="preserve">ommittee in any hearing </w:t>
      </w:r>
      <w:r>
        <w:t>it</w:t>
      </w:r>
      <w:r w:rsidR="00D252E6" w:rsidRPr="00D252E6">
        <w:t xml:space="preserve"> </w:t>
      </w:r>
      <w:r w:rsidR="00DD31AA">
        <w:t>may hold on these matters.</w:t>
      </w:r>
    </w:p>
    <w:p w:rsidR="00D252E6" w:rsidRDefault="00D252E6" w:rsidP="00D252E6">
      <w:pPr>
        <w:spacing w:before="100" w:beforeAutospacing="1" w:after="100" w:afterAutospacing="1" w:line="240" w:lineRule="auto"/>
        <w:jc w:val="both"/>
      </w:pPr>
      <w:r>
        <w:t>Yours sincerely</w:t>
      </w:r>
    </w:p>
    <w:p w:rsidR="00D252E6" w:rsidRDefault="00D252E6" w:rsidP="00D252E6">
      <w:pPr>
        <w:spacing w:before="100" w:beforeAutospacing="1" w:after="100" w:afterAutospacing="1" w:line="240" w:lineRule="auto"/>
        <w:jc w:val="both"/>
      </w:pPr>
      <w:r>
        <w:t>Jeffrey Dudgeon (MHG Convenor)</w:t>
      </w:r>
    </w:p>
    <w:p w:rsidR="00D252E6" w:rsidRDefault="00D252E6" w:rsidP="00D252E6">
      <w:pPr>
        <w:spacing w:before="100" w:beforeAutospacing="1" w:after="100" w:afterAutospacing="1" w:line="240" w:lineRule="auto"/>
        <w:jc w:val="both"/>
      </w:pPr>
      <w:r>
        <w:t xml:space="preserve">079 2125 1874 </w:t>
      </w:r>
    </w:p>
    <w:p w:rsidR="00D252E6" w:rsidRDefault="00DD2D4A" w:rsidP="00D252E6">
      <w:pPr>
        <w:spacing w:before="100" w:beforeAutospacing="1" w:after="100" w:afterAutospacing="1" w:line="240" w:lineRule="auto"/>
        <w:jc w:val="both"/>
      </w:pPr>
      <w:hyperlink r:id="rId10" w:history="1">
        <w:r w:rsidR="00D252E6" w:rsidRPr="00E35BDA">
          <w:rPr>
            <w:rStyle w:val="Hyperlink"/>
          </w:rPr>
          <w:t>jeffreydudgeon@hotmail.com</w:t>
        </w:r>
      </w:hyperlink>
    </w:p>
    <w:p w:rsidR="00DD31AA" w:rsidRPr="009020AC" w:rsidRDefault="00BE313A" w:rsidP="009020AC">
      <w:pPr>
        <w:spacing w:before="100" w:beforeAutospacing="1" w:after="100" w:afterAutospacing="1" w:line="240" w:lineRule="auto"/>
        <w:jc w:val="both"/>
      </w:pPr>
      <w:r>
        <w:t>5</w:t>
      </w:r>
      <w:r w:rsidR="00D252E6">
        <w:t xml:space="preserve"> February 2025</w:t>
      </w:r>
    </w:p>
    <w:p w:rsidR="002E3CB8" w:rsidRDefault="002E3CB8" w:rsidP="009020AC">
      <w:pPr>
        <w:jc w:val="center"/>
        <w:rPr>
          <w:b/>
          <w:sz w:val="28"/>
          <w:szCs w:val="28"/>
        </w:rPr>
      </w:pPr>
    </w:p>
    <w:p w:rsidR="00E658B8" w:rsidRDefault="00E658B8" w:rsidP="009020AC">
      <w:pPr>
        <w:jc w:val="center"/>
        <w:rPr>
          <w:b/>
          <w:sz w:val="28"/>
          <w:szCs w:val="28"/>
        </w:rPr>
      </w:pPr>
    </w:p>
    <w:p w:rsidR="00DD31AA" w:rsidRPr="009009B3" w:rsidRDefault="00310644" w:rsidP="009020AC">
      <w:pPr>
        <w:jc w:val="center"/>
        <w:rPr>
          <w:b/>
          <w:sz w:val="28"/>
          <w:szCs w:val="28"/>
        </w:rPr>
      </w:pPr>
      <w:r w:rsidRPr="009009B3">
        <w:rPr>
          <w:b/>
          <w:sz w:val="28"/>
          <w:szCs w:val="28"/>
        </w:rPr>
        <w:lastRenderedPageBreak/>
        <w:t xml:space="preserve">List </w:t>
      </w:r>
      <w:r>
        <w:rPr>
          <w:b/>
          <w:sz w:val="28"/>
          <w:szCs w:val="28"/>
        </w:rPr>
        <w:t>of</w:t>
      </w:r>
      <w:r w:rsidR="00DD04A5">
        <w:rPr>
          <w:b/>
          <w:sz w:val="28"/>
          <w:szCs w:val="28"/>
        </w:rPr>
        <w:t xml:space="preserve"> </w:t>
      </w:r>
      <w:r>
        <w:rPr>
          <w:b/>
          <w:sz w:val="28"/>
          <w:szCs w:val="28"/>
        </w:rPr>
        <w:t>a</w:t>
      </w:r>
      <w:r w:rsidRPr="009009B3">
        <w:rPr>
          <w:b/>
          <w:sz w:val="28"/>
          <w:szCs w:val="28"/>
        </w:rPr>
        <w:t xml:space="preserve">mnesties </w:t>
      </w:r>
      <w:r w:rsidR="00DD31AA">
        <w:rPr>
          <w:b/>
          <w:sz w:val="28"/>
          <w:szCs w:val="28"/>
        </w:rPr>
        <w:t>in the</w:t>
      </w:r>
      <w:r w:rsidR="00DD31AA" w:rsidRPr="009009B3">
        <w:rPr>
          <w:b/>
          <w:sz w:val="28"/>
          <w:szCs w:val="28"/>
        </w:rPr>
        <w:t xml:space="preserve"> 1920</w:t>
      </w:r>
      <w:r w:rsidR="00DD31AA">
        <w:rPr>
          <w:b/>
          <w:sz w:val="28"/>
          <w:szCs w:val="28"/>
        </w:rPr>
        <w:t>s</w:t>
      </w:r>
      <w:r w:rsidR="00DD31AA" w:rsidRPr="009009B3">
        <w:rPr>
          <w:b/>
          <w:sz w:val="28"/>
          <w:szCs w:val="28"/>
        </w:rPr>
        <w:t>, 1950-60</w:t>
      </w:r>
      <w:r w:rsidR="00DD31AA">
        <w:rPr>
          <w:b/>
          <w:sz w:val="28"/>
          <w:szCs w:val="28"/>
        </w:rPr>
        <w:t>s</w:t>
      </w:r>
      <w:r w:rsidR="00DD31AA" w:rsidRPr="009009B3">
        <w:rPr>
          <w:b/>
          <w:sz w:val="28"/>
          <w:szCs w:val="28"/>
        </w:rPr>
        <w:t xml:space="preserve"> </w:t>
      </w:r>
      <w:r w:rsidR="00DD31AA">
        <w:rPr>
          <w:b/>
          <w:sz w:val="28"/>
          <w:szCs w:val="28"/>
        </w:rPr>
        <w:t>and</w:t>
      </w:r>
      <w:r w:rsidR="00DD31AA" w:rsidRPr="009009B3">
        <w:rPr>
          <w:b/>
          <w:sz w:val="28"/>
          <w:szCs w:val="28"/>
        </w:rPr>
        <w:t xml:space="preserve"> </w:t>
      </w:r>
      <w:r w:rsidR="00DD31AA">
        <w:rPr>
          <w:b/>
          <w:sz w:val="28"/>
          <w:szCs w:val="28"/>
        </w:rPr>
        <w:t xml:space="preserve">since </w:t>
      </w:r>
      <w:r w:rsidR="00DD31AA" w:rsidRPr="009009B3">
        <w:rPr>
          <w:b/>
          <w:sz w:val="28"/>
          <w:szCs w:val="28"/>
        </w:rPr>
        <w:t>1998</w:t>
      </w:r>
    </w:p>
    <w:p w:rsidR="00DD31AA" w:rsidRDefault="00DD31AA" w:rsidP="00DD31AA">
      <w:pPr>
        <w:spacing w:after="0" w:line="240" w:lineRule="auto"/>
        <w:contextualSpacing/>
        <w:jc w:val="both"/>
      </w:pPr>
    </w:p>
    <w:p w:rsidR="00DD31AA" w:rsidRPr="000A0683" w:rsidRDefault="00DD31AA" w:rsidP="00DD31AA">
      <w:pPr>
        <w:spacing w:after="0" w:line="240" w:lineRule="auto"/>
        <w:contextualSpacing/>
        <w:jc w:val="both"/>
        <w:rPr>
          <w:rFonts w:eastAsia="Calibri"/>
        </w:rPr>
      </w:pPr>
      <w:r w:rsidRPr="000A0683">
        <w:rPr>
          <w:rFonts w:eastAsia="Calibri"/>
        </w:rPr>
        <w:t>Since the 1998 Belfast Agreement there have been a large number of amnesties while there were amnesties in both the Irish Free State in the 1920s and, perhaps surprisingly, under the Stormont government:</w:t>
      </w:r>
    </w:p>
    <w:p w:rsidR="00DD31AA" w:rsidRPr="000A0683" w:rsidRDefault="00DD31AA" w:rsidP="00DD31AA">
      <w:pPr>
        <w:spacing w:after="0" w:line="240" w:lineRule="auto"/>
        <w:ind w:left="1440"/>
        <w:contextualSpacing/>
        <w:jc w:val="both"/>
        <w:rPr>
          <w:rFonts w:eastAsia="Calibri"/>
        </w:rPr>
      </w:pPr>
      <w:r w:rsidRPr="000A0683">
        <w:rPr>
          <w:rFonts w:eastAsia="Calibri"/>
        </w:rPr>
        <w:t>The new Irish state legislated three times in 1923-24 for amnesties, dispensing with civil and criminal liability for violence and force used:</w:t>
      </w:r>
    </w:p>
    <w:p w:rsidR="00DD31AA" w:rsidRPr="000A0683" w:rsidRDefault="00DD31AA" w:rsidP="00DD31AA">
      <w:pPr>
        <w:spacing w:after="0" w:line="240" w:lineRule="auto"/>
        <w:ind w:left="1440"/>
        <w:contextualSpacing/>
        <w:jc w:val="both"/>
        <w:rPr>
          <w:rFonts w:eastAsia="Calibri"/>
        </w:rPr>
      </w:pPr>
      <w:r w:rsidRPr="000A0683">
        <w:rPr>
          <w:rFonts w:eastAsia="Calibri"/>
        </w:rPr>
        <w:t>- for UK state forces before their evacuation, the Indemnity (British Military) Act 1923 covered the dates 23 April 1916 to 10 February 1923.</w:t>
      </w:r>
    </w:p>
    <w:p w:rsidR="00DD31AA" w:rsidRPr="000A0683" w:rsidRDefault="00DD31AA" w:rsidP="00DD31AA">
      <w:pPr>
        <w:spacing w:after="0" w:line="240" w:lineRule="auto"/>
        <w:ind w:left="1440"/>
        <w:contextualSpacing/>
        <w:jc w:val="both"/>
        <w:rPr>
          <w:rFonts w:eastAsia="Calibri"/>
        </w:rPr>
      </w:pPr>
      <w:r w:rsidRPr="000A0683">
        <w:rPr>
          <w:rFonts w:eastAsia="Calibri"/>
        </w:rPr>
        <w:t>- for Free State forces in the subsequent civil war which suppressed enemy Republicans, the Indemnity Act 1923 covered 27 June 1922 to 3 August 1923.</w:t>
      </w:r>
    </w:p>
    <w:p w:rsidR="00DD31AA" w:rsidRPr="000A0683" w:rsidRDefault="00DD31AA" w:rsidP="00DD31AA">
      <w:pPr>
        <w:spacing w:after="0" w:line="240" w:lineRule="auto"/>
        <w:ind w:left="1440"/>
        <w:contextualSpacing/>
        <w:jc w:val="both"/>
        <w:rPr>
          <w:rFonts w:eastAsia="Calibri"/>
        </w:rPr>
      </w:pPr>
      <w:r w:rsidRPr="000A0683">
        <w:rPr>
          <w:rFonts w:eastAsia="Calibri"/>
        </w:rPr>
        <w:t xml:space="preserve">- for Republicans in the War of Independence, the Indemnity Act 1924, covered 21 January 1919 to 28 </w:t>
      </w:r>
      <w:bookmarkStart w:id="0" w:name="_GoBack"/>
      <w:bookmarkEnd w:id="0"/>
      <w:r w:rsidRPr="000A0683">
        <w:rPr>
          <w:rFonts w:eastAsia="Calibri"/>
        </w:rPr>
        <w:t>June 1922.</w:t>
      </w:r>
    </w:p>
    <w:p w:rsidR="00DD31AA" w:rsidRPr="000A0683" w:rsidRDefault="00DD31AA" w:rsidP="00DD31AA">
      <w:pPr>
        <w:spacing w:after="0" w:line="240" w:lineRule="auto"/>
        <w:ind w:left="1440"/>
        <w:contextualSpacing/>
        <w:jc w:val="both"/>
        <w:rPr>
          <w:rFonts w:eastAsia="Calibri"/>
        </w:rPr>
      </w:pPr>
      <w:r w:rsidRPr="000A0683">
        <w:rPr>
          <w:rFonts w:eastAsia="Calibri"/>
        </w:rPr>
        <w:t xml:space="preserve">The Unionist government after the IRA’s 1956-62 campaign, and after the order to dump arms, had by 1963 released all prisoners and internees. Stormont even released prisoners during the campaign, including, in 1958, a one-time MP, Philip Clarke, convicted of treason felony. </w:t>
      </w:r>
    </w:p>
    <w:p w:rsidR="00DD31AA" w:rsidRPr="000A0683" w:rsidRDefault="00DD31AA" w:rsidP="00DD31AA">
      <w:pPr>
        <w:spacing w:after="0" w:line="240" w:lineRule="auto"/>
        <w:ind w:left="1440"/>
        <w:contextualSpacing/>
        <w:jc w:val="both"/>
        <w:rPr>
          <w:rFonts w:eastAsia="Calibri"/>
        </w:rPr>
      </w:pPr>
    </w:p>
    <w:p w:rsidR="00DD31AA" w:rsidRPr="000A0683" w:rsidRDefault="00DD31AA" w:rsidP="00DD31AA">
      <w:pPr>
        <w:spacing w:after="0" w:line="240" w:lineRule="auto"/>
        <w:jc w:val="both"/>
      </w:pPr>
      <w:r w:rsidRPr="000A0683">
        <w:rPr>
          <w:rFonts w:eastAsia="Times New Roman"/>
          <w:color w:val="000000"/>
          <w:spacing w:val="-7"/>
          <w:lang w:eastAsia="en-GB"/>
        </w:rPr>
        <w:t>Justice in Northern Ireland was circumscribed legislatively and administratively during the making of the 1998 Belfast Agreement and its implementation by this further series of amnesties</w:t>
      </w:r>
      <w:r>
        <w:rPr>
          <w:rFonts w:eastAsia="Times New Roman"/>
          <w:color w:val="000000"/>
          <w:spacing w:val="-7"/>
          <w:lang w:eastAsia="en-GB"/>
        </w:rPr>
        <w:t xml:space="preserve"> below.</w:t>
      </w:r>
      <w:r w:rsidRPr="000A0683">
        <w:t xml:space="preserve"> See also the Northern Ireland (Offences) Bill introduced by Secretary of State Peter Hain in 2005 which provided for an amnesty, albeit 'judicially based', for those who were on the run and others. He said then it was Article 2 ECHR compliant. Sinn Fein withdrew support when the SDLP majored on the fact it also applied to soldiers and the Bill was withdrawn. (See House of Commons Research Paper 05/78 for background and details and bill </w:t>
      </w:r>
      <w:hyperlink r:id="rId11" w:history="1">
        <w:r w:rsidRPr="000A0683">
          <w:rPr>
            <w:rStyle w:val="Hyperlink"/>
          </w:rPr>
          <w:t>https://publications.parliament.uk/pa/cm200506/cmbills/081/2006081.htm</w:t>
        </w:r>
      </w:hyperlink>
      <w:r w:rsidRPr="000A0683">
        <w:t xml:space="preserve"> )</w:t>
      </w:r>
    </w:p>
    <w:p w:rsidR="00DD31AA" w:rsidRPr="000A0683" w:rsidRDefault="00DD31AA" w:rsidP="00DD31AA">
      <w:pPr>
        <w:spacing w:after="0" w:line="240" w:lineRule="auto"/>
        <w:jc w:val="both"/>
        <w:rPr>
          <w:rFonts w:eastAsia="Calibri"/>
        </w:rPr>
      </w:pP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 xml:space="preserve"> Immunities (called an amnesty in law) regarding terrorist weapons, from 1997-2010;</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 xml:space="preserve">The Belfast Agreement’s Northern Ireland (Sentences) Act 1998 with its early release of all terrorist prisoners after two years </w:t>
      </w:r>
      <w:r>
        <w:rPr>
          <w:rFonts w:eastAsia="Calibri"/>
        </w:rPr>
        <w:t xml:space="preserve">imprisonment </w:t>
      </w:r>
      <w:r w:rsidRPr="000A0683">
        <w:rPr>
          <w:rFonts w:eastAsia="Calibri"/>
        </w:rPr>
        <w:t>served;</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The requests by Bertie Ahern and Michael McDowell for the UK to discontinue current (and future) extradition proceedings, acceded to by Tony Blair and Peter Mandelson in 1999-2000;</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Immunities regarding the Saville inquiry, 1998-2010;</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Immunities regarding the Hamill, Nelson, Wright and Breen/Buchanan inquiries</w:t>
      </w:r>
      <w:r w:rsidR="002E3CB8">
        <w:rPr>
          <w:rFonts w:eastAsia="Calibri"/>
        </w:rPr>
        <w:t xml:space="preserve"> (one ongoing)</w:t>
      </w:r>
      <w:r w:rsidRPr="000A0683">
        <w:rPr>
          <w:rFonts w:eastAsia="Calibri"/>
        </w:rPr>
        <w:t>;</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Immunities regarding the recovery of the disappeared, 1999 to present;</w:t>
      </w:r>
    </w:p>
    <w:p w:rsidR="00DD31AA" w:rsidRPr="000A0683" w:rsidRDefault="00DD31AA" w:rsidP="00DD31AA">
      <w:pPr>
        <w:numPr>
          <w:ilvl w:val="0"/>
          <w:numId w:val="4"/>
        </w:numPr>
        <w:spacing w:after="160" w:line="240" w:lineRule="auto"/>
        <w:contextualSpacing/>
        <w:jc w:val="both"/>
        <w:rPr>
          <w:rFonts w:eastAsia="Calibri"/>
        </w:rPr>
      </w:pPr>
      <w:r w:rsidRPr="000A0683">
        <w:rPr>
          <w:rFonts w:eastAsia="Calibri"/>
        </w:rPr>
        <w:t xml:space="preserve">Royal Prerogative of Mercy grants issued silently in dozens of cases since the 1970s, most files oddly lost; </w:t>
      </w:r>
    </w:p>
    <w:p w:rsidR="00DD31AA" w:rsidRPr="000A0683" w:rsidRDefault="00DD31AA" w:rsidP="00DD31AA">
      <w:pPr>
        <w:numPr>
          <w:ilvl w:val="0"/>
          <w:numId w:val="4"/>
        </w:numPr>
        <w:spacing w:after="0" w:line="240" w:lineRule="auto"/>
        <w:contextualSpacing/>
        <w:jc w:val="both"/>
        <w:rPr>
          <w:rFonts w:eastAsia="Calibri"/>
        </w:rPr>
      </w:pPr>
      <w:r w:rsidRPr="000A0683">
        <w:rPr>
          <w:rFonts w:eastAsia="Calibri"/>
        </w:rPr>
        <w:t xml:space="preserve">The secret administrative scheme, regarding so-called ‘on the runs’ (OTRs), which was operated contrary to the advice of several Attorneys General in Whitehall between 2000 and 2014; under it, at least 187 of 228 </w:t>
      </w:r>
      <w:r>
        <w:rPr>
          <w:rFonts w:eastAsia="Calibri"/>
        </w:rPr>
        <w:t>(</w:t>
      </w:r>
      <w:r w:rsidRPr="000A0683">
        <w:rPr>
          <w:rFonts w:eastAsia="Calibri"/>
        </w:rPr>
        <w:t>IRA</w:t>
      </w:r>
      <w:r>
        <w:rPr>
          <w:rFonts w:eastAsia="Calibri"/>
        </w:rPr>
        <w:t xml:space="preserve"> approved </w:t>
      </w:r>
      <w:r w:rsidRPr="000A0683">
        <w:rPr>
          <w:rFonts w:eastAsia="Calibri"/>
        </w:rPr>
        <w:t>only</w:t>
      </w:r>
      <w:r>
        <w:rPr>
          <w:rFonts w:eastAsia="Calibri"/>
        </w:rPr>
        <w:t>)</w:t>
      </w:r>
      <w:r w:rsidRPr="000A0683">
        <w:rPr>
          <w:rFonts w:eastAsia="Calibri"/>
        </w:rPr>
        <w:t xml:space="preserve"> applicants were granted OTR letters of comfort; and </w:t>
      </w:r>
    </w:p>
    <w:p w:rsidR="00DD31AA" w:rsidRDefault="00DD31AA" w:rsidP="00DD31AA">
      <w:pPr>
        <w:numPr>
          <w:ilvl w:val="0"/>
          <w:numId w:val="4"/>
        </w:numPr>
        <w:spacing w:after="0" w:line="240" w:lineRule="auto"/>
        <w:contextualSpacing/>
        <w:jc w:val="both"/>
        <w:rPr>
          <w:rFonts w:eastAsia="Calibri"/>
        </w:rPr>
      </w:pPr>
      <w:r w:rsidRPr="000A0683">
        <w:rPr>
          <w:rFonts w:eastAsia="Calibri"/>
        </w:rPr>
        <w:t>Implied amnesties within the Eames Bradley report and in the Lord Chief Justice</w:t>
      </w:r>
      <w:r>
        <w:rPr>
          <w:rFonts w:eastAsia="Calibri"/>
        </w:rPr>
        <w:t>, Sir Declan Morgan’s</w:t>
      </w:r>
      <w:r w:rsidRPr="000A0683">
        <w:rPr>
          <w:rFonts w:eastAsia="Calibri"/>
        </w:rPr>
        <w:t xml:space="preserve"> decision on reopened inquests that there should be an end to reinvestigations </w:t>
      </w:r>
      <w:r>
        <w:rPr>
          <w:rFonts w:eastAsia="Calibri"/>
        </w:rPr>
        <w:t>after five years;</w:t>
      </w:r>
    </w:p>
    <w:p w:rsidR="00DD31AA" w:rsidRPr="00DD31AA" w:rsidRDefault="00DD31AA" w:rsidP="00DD31AA">
      <w:pPr>
        <w:spacing w:after="0" w:line="240" w:lineRule="auto"/>
        <w:ind w:left="1440"/>
        <w:contextualSpacing/>
        <w:jc w:val="both"/>
        <w:rPr>
          <w:b/>
        </w:rPr>
      </w:pPr>
      <w:r>
        <w:rPr>
          <w:rFonts w:eastAsia="Calibri"/>
        </w:rPr>
        <w:t>(10) Conditional immunity in the Conservative Government’s 2023 Act.</w:t>
      </w:r>
    </w:p>
    <w:sectPr w:rsidR="00DD31AA" w:rsidRPr="00DD31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4A" w:rsidRDefault="00DD2D4A" w:rsidP="00707C30">
      <w:pPr>
        <w:spacing w:after="0" w:line="240" w:lineRule="auto"/>
      </w:pPr>
      <w:r>
        <w:separator/>
      </w:r>
    </w:p>
  </w:endnote>
  <w:endnote w:type="continuationSeparator" w:id="0">
    <w:p w:rsidR="00DD2D4A" w:rsidRDefault="00DD2D4A" w:rsidP="0070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4A" w:rsidRDefault="00DD2D4A" w:rsidP="00707C30">
      <w:pPr>
        <w:spacing w:after="0" w:line="240" w:lineRule="auto"/>
      </w:pPr>
      <w:r>
        <w:separator/>
      </w:r>
    </w:p>
  </w:footnote>
  <w:footnote w:type="continuationSeparator" w:id="0">
    <w:p w:rsidR="00DD2D4A" w:rsidRDefault="00DD2D4A" w:rsidP="00707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4B72"/>
    <w:multiLevelType w:val="multilevel"/>
    <w:tmpl w:val="0D781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9230C0"/>
    <w:multiLevelType w:val="hybridMultilevel"/>
    <w:tmpl w:val="028C1234"/>
    <w:lvl w:ilvl="0" w:tplc="929CF7CC">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657B7D73"/>
    <w:multiLevelType w:val="hybridMultilevel"/>
    <w:tmpl w:val="301055A0"/>
    <w:lvl w:ilvl="0" w:tplc="2E62AA5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167DC0"/>
    <w:multiLevelType w:val="multilevel"/>
    <w:tmpl w:val="06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A5"/>
    <w:rsid w:val="000020E5"/>
    <w:rsid w:val="000167D6"/>
    <w:rsid w:val="000559A8"/>
    <w:rsid w:val="00075BE3"/>
    <w:rsid w:val="00084BBB"/>
    <w:rsid w:val="000A5C4C"/>
    <w:rsid w:val="000A60BC"/>
    <w:rsid w:val="000B2B4C"/>
    <w:rsid w:val="000C0560"/>
    <w:rsid w:val="000E19D9"/>
    <w:rsid w:val="001178EA"/>
    <w:rsid w:val="00164BED"/>
    <w:rsid w:val="001656FE"/>
    <w:rsid w:val="00170A3A"/>
    <w:rsid w:val="001A4E81"/>
    <w:rsid w:val="001E6A35"/>
    <w:rsid w:val="00240B54"/>
    <w:rsid w:val="00242067"/>
    <w:rsid w:val="00252DF2"/>
    <w:rsid w:val="002542E3"/>
    <w:rsid w:val="0027572C"/>
    <w:rsid w:val="00285617"/>
    <w:rsid w:val="002902C8"/>
    <w:rsid w:val="00297A9E"/>
    <w:rsid w:val="002B13E1"/>
    <w:rsid w:val="002E3CB8"/>
    <w:rsid w:val="00310644"/>
    <w:rsid w:val="00312C1D"/>
    <w:rsid w:val="003310BA"/>
    <w:rsid w:val="0033406E"/>
    <w:rsid w:val="00353815"/>
    <w:rsid w:val="0039035E"/>
    <w:rsid w:val="00394FB4"/>
    <w:rsid w:val="003B0993"/>
    <w:rsid w:val="003E69F1"/>
    <w:rsid w:val="003F4AC0"/>
    <w:rsid w:val="00407F79"/>
    <w:rsid w:val="00427D38"/>
    <w:rsid w:val="004718EB"/>
    <w:rsid w:val="004C2D4B"/>
    <w:rsid w:val="004E262A"/>
    <w:rsid w:val="004E7CAB"/>
    <w:rsid w:val="004F479D"/>
    <w:rsid w:val="005072A6"/>
    <w:rsid w:val="00532F69"/>
    <w:rsid w:val="00540E71"/>
    <w:rsid w:val="00544976"/>
    <w:rsid w:val="0061416E"/>
    <w:rsid w:val="00627FBD"/>
    <w:rsid w:val="006A0FEB"/>
    <w:rsid w:val="006F7979"/>
    <w:rsid w:val="00700C68"/>
    <w:rsid w:val="00707C30"/>
    <w:rsid w:val="00752390"/>
    <w:rsid w:val="00760060"/>
    <w:rsid w:val="00764C9B"/>
    <w:rsid w:val="00765051"/>
    <w:rsid w:val="00795C3C"/>
    <w:rsid w:val="007A2D0E"/>
    <w:rsid w:val="007E4DAA"/>
    <w:rsid w:val="00852A90"/>
    <w:rsid w:val="008655B4"/>
    <w:rsid w:val="00871DD3"/>
    <w:rsid w:val="008D1627"/>
    <w:rsid w:val="008F4927"/>
    <w:rsid w:val="009020AC"/>
    <w:rsid w:val="00946F95"/>
    <w:rsid w:val="00972DF9"/>
    <w:rsid w:val="00982D3A"/>
    <w:rsid w:val="00987CD2"/>
    <w:rsid w:val="00997198"/>
    <w:rsid w:val="009C6CF2"/>
    <w:rsid w:val="00A4084A"/>
    <w:rsid w:val="00A5163D"/>
    <w:rsid w:val="00A64077"/>
    <w:rsid w:val="00A76AF0"/>
    <w:rsid w:val="00AA6E23"/>
    <w:rsid w:val="00B141EC"/>
    <w:rsid w:val="00B850A9"/>
    <w:rsid w:val="00B90BD6"/>
    <w:rsid w:val="00B9195D"/>
    <w:rsid w:val="00BA1EA9"/>
    <w:rsid w:val="00BB056E"/>
    <w:rsid w:val="00BB2C5F"/>
    <w:rsid w:val="00BD18A5"/>
    <w:rsid w:val="00BE313A"/>
    <w:rsid w:val="00BE36EE"/>
    <w:rsid w:val="00C048BE"/>
    <w:rsid w:val="00C27145"/>
    <w:rsid w:val="00C678A3"/>
    <w:rsid w:val="00C83E34"/>
    <w:rsid w:val="00C85884"/>
    <w:rsid w:val="00C915FA"/>
    <w:rsid w:val="00CB2CF4"/>
    <w:rsid w:val="00CB2DEA"/>
    <w:rsid w:val="00CC69C7"/>
    <w:rsid w:val="00CD4ACE"/>
    <w:rsid w:val="00CE6B11"/>
    <w:rsid w:val="00D252E6"/>
    <w:rsid w:val="00D50B7A"/>
    <w:rsid w:val="00D67D34"/>
    <w:rsid w:val="00D77FBF"/>
    <w:rsid w:val="00DC6899"/>
    <w:rsid w:val="00DD04A5"/>
    <w:rsid w:val="00DD2D4A"/>
    <w:rsid w:val="00DD31AA"/>
    <w:rsid w:val="00E0495F"/>
    <w:rsid w:val="00E10280"/>
    <w:rsid w:val="00E1299F"/>
    <w:rsid w:val="00E26477"/>
    <w:rsid w:val="00E658B8"/>
    <w:rsid w:val="00E76A0A"/>
    <w:rsid w:val="00E949B5"/>
    <w:rsid w:val="00EA0188"/>
    <w:rsid w:val="00EC0403"/>
    <w:rsid w:val="00EC58ED"/>
    <w:rsid w:val="00F4195A"/>
    <w:rsid w:val="00F478C1"/>
    <w:rsid w:val="00F6569B"/>
    <w:rsid w:val="00FC0A64"/>
    <w:rsid w:val="00FC232F"/>
    <w:rsid w:val="00FD2127"/>
    <w:rsid w:val="00FF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EC"/>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1EC"/>
    <w:pPr>
      <w:spacing w:after="0" w:line="240" w:lineRule="auto"/>
    </w:pPr>
    <w:rPr>
      <w:rFonts w:cs="Times New Roman"/>
      <w:szCs w:val="24"/>
    </w:rPr>
  </w:style>
  <w:style w:type="character" w:styleId="Hyperlink">
    <w:name w:val="Hyperlink"/>
    <w:basedOn w:val="DefaultParagraphFont"/>
    <w:uiPriority w:val="99"/>
    <w:unhideWhenUsed/>
    <w:rsid w:val="005072A6"/>
    <w:rPr>
      <w:color w:val="0000FF" w:themeColor="hyperlink"/>
      <w:u w:val="single"/>
    </w:rPr>
  </w:style>
  <w:style w:type="paragraph" w:styleId="BalloonText">
    <w:name w:val="Balloon Text"/>
    <w:basedOn w:val="Normal"/>
    <w:link w:val="BalloonTextChar"/>
    <w:uiPriority w:val="99"/>
    <w:semiHidden/>
    <w:unhideWhenUsed/>
    <w:rsid w:val="00FC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64"/>
    <w:rPr>
      <w:rFonts w:ascii="Tahoma" w:hAnsi="Tahoma" w:cs="Tahoma"/>
      <w:sz w:val="16"/>
      <w:szCs w:val="16"/>
    </w:rPr>
  </w:style>
  <w:style w:type="character" w:styleId="FollowedHyperlink">
    <w:name w:val="FollowedHyperlink"/>
    <w:basedOn w:val="DefaultParagraphFont"/>
    <w:uiPriority w:val="99"/>
    <w:semiHidden/>
    <w:unhideWhenUsed/>
    <w:rsid w:val="003B0993"/>
    <w:rPr>
      <w:color w:val="800080" w:themeColor="followedHyperlink"/>
      <w:u w:val="single"/>
    </w:rPr>
  </w:style>
  <w:style w:type="paragraph" w:styleId="FootnoteText">
    <w:name w:val="footnote text"/>
    <w:basedOn w:val="Normal"/>
    <w:link w:val="FootnoteTextChar"/>
    <w:uiPriority w:val="99"/>
    <w:semiHidden/>
    <w:unhideWhenUsed/>
    <w:rsid w:val="00707C30"/>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7C30"/>
    <w:rPr>
      <w:rFonts w:asciiTheme="minorHAnsi" w:hAnsiTheme="minorHAnsi"/>
      <w:sz w:val="20"/>
      <w:szCs w:val="20"/>
    </w:rPr>
  </w:style>
  <w:style w:type="character" w:styleId="FootnoteReference">
    <w:name w:val="footnote reference"/>
    <w:basedOn w:val="DefaultParagraphFont"/>
    <w:uiPriority w:val="99"/>
    <w:semiHidden/>
    <w:unhideWhenUsed/>
    <w:rsid w:val="00707C30"/>
    <w:rPr>
      <w:vertAlign w:val="superscript"/>
    </w:rPr>
  </w:style>
  <w:style w:type="paragraph" w:styleId="NormalWeb">
    <w:name w:val="Normal (Web)"/>
    <w:basedOn w:val="Normal"/>
    <w:uiPriority w:val="99"/>
    <w:unhideWhenUsed/>
    <w:rsid w:val="00FC232F"/>
    <w:pPr>
      <w:spacing w:before="100" w:beforeAutospacing="1" w:after="100" w:afterAutospacing="1" w:line="240" w:lineRule="auto"/>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EC"/>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1EC"/>
    <w:pPr>
      <w:spacing w:after="0" w:line="240" w:lineRule="auto"/>
    </w:pPr>
    <w:rPr>
      <w:rFonts w:cs="Times New Roman"/>
      <w:szCs w:val="24"/>
    </w:rPr>
  </w:style>
  <w:style w:type="character" w:styleId="Hyperlink">
    <w:name w:val="Hyperlink"/>
    <w:basedOn w:val="DefaultParagraphFont"/>
    <w:uiPriority w:val="99"/>
    <w:unhideWhenUsed/>
    <w:rsid w:val="005072A6"/>
    <w:rPr>
      <w:color w:val="0000FF" w:themeColor="hyperlink"/>
      <w:u w:val="single"/>
    </w:rPr>
  </w:style>
  <w:style w:type="paragraph" w:styleId="BalloonText">
    <w:name w:val="Balloon Text"/>
    <w:basedOn w:val="Normal"/>
    <w:link w:val="BalloonTextChar"/>
    <w:uiPriority w:val="99"/>
    <w:semiHidden/>
    <w:unhideWhenUsed/>
    <w:rsid w:val="00FC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64"/>
    <w:rPr>
      <w:rFonts w:ascii="Tahoma" w:hAnsi="Tahoma" w:cs="Tahoma"/>
      <w:sz w:val="16"/>
      <w:szCs w:val="16"/>
    </w:rPr>
  </w:style>
  <w:style w:type="character" w:styleId="FollowedHyperlink">
    <w:name w:val="FollowedHyperlink"/>
    <w:basedOn w:val="DefaultParagraphFont"/>
    <w:uiPriority w:val="99"/>
    <w:semiHidden/>
    <w:unhideWhenUsed/>
    <w:rsid w:val="003B0993"/>
    <w:rPr>
      <w:color w:val="800080" w:themeColor="followedHyperlink"/>
      <w:u w:val="single"/>
    </w:rPr>
  </w:style>
  <w:style w:type="paragraph" w:styleId="FootnoteText">
    <w:name w:val="footnote text"/>
    <w:basedOn w:val="Normal"/>
    <w:link w:val="FootnoteTextChar"/>
    <w:uiPriority w:val="99"/>
    <w:semiHidden/>
    <w:unhideWhenUsed/>
    <w:rsid w:val="00707C30"/>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7C30"/>
    <w:rPr>
      <w:rFonts w:asciiTheme="minorHAnsi" w:hAnsiTheme="minorHAnsi"/>
      <w:sz w:val="20"/>
      <w:szCs w:val="20"/>
    </w:rPr>
  </w:style>
  <w:style w:type="character" w:styleId="FootnoteReference">
    <w:name w:val="footnote reference"/>
    <w:basedOn w:val="DefaultParagraphFont"/>
    <w:uiPriority w:val="99"/>
    <w:semiHidden/>
    <w:unhideWhenUsed/>
    <w:rsid w:val="00707C30"/>
    <w:rPr>
      <w:vertAlign w:val="superscript"/>
    </w:rPr>
  </w:style>
  <w:style w:type="paragraph" w:styleId="NormalWeb">
    <w:name w:val="Normal (Web)"/>
    <w:basedOn w:val="Normal"/>
    <w:uiPriority w:val="99"/>
    <w:unhideWhenUsed/>
    <w:rsid w:val="00FC232F"/>
    <w:pPr>
      <w:spacing w:before="100" w:beforeAutospacing="1" w:after="100" w:afterAutospacing="1" w:line="240" w:lineRule="auto"/>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0119">
      <w:bodyDiv w:val="1"/>
      <w:marLeft w:val="0"/>
      <w:marRight w:val="0"/>
      <w:marTop w:val="0"/>
      <w:marBottom w:val="0"/>
      <w:divBdr>
        <w:top w:val="none" w:sz="0" w:space="0" w:color="auto"/>
        <w:left w:val="none" w:sz="0" w:space="0" w:color="auto"/>
        <w:bottom w:val="none" w:sz="0" w:space="0" w:color="auto"/>
        <w:right w:val="none" w:sz="0" w:space="0" w:color="auto"/>
      </w:divBdr>
      <w:divsChild>
        <w:div w:id="1599286702">
          <w:marLeft w:val="0"/>
          <w:marRight w:val="0"/>
          <w:marTop w:val="0"/>
          <w:marBottom w:val="0"/>
          <w:divBdr>
            <w:top w:val="none" w:sz="0" w:space="0" w:color="auto"/>
            <w:left w:val="none" w:sz="0" w:space="0" w:color="auto"/>
            <w:bottom w:val="none" w:sz="0" w:space="0" w:color="auto"/>
            <w:right w:val="none" w:sz="0" w:space="0" w:color="auto"/>
          </w:divBdr>
        </w:div>
      </w:divsChild>
    </w:div>
    <w:div w:id="886258792">
      <w:bodyDiv w:val="1"/>
      <w:marLeft w:val="0"/>
      <w:marRight w:val="0"/>
      <w:marTop w:val="0"/>
      <w:marBottom w:val="0"/>
      <w:divBdr>
        <w:top w:val="none" w:sz="0" w:space="0" w:color="auto"/>
        <w:left w:val="none" w:sz="0" w:space="0" w:color="auto"/>
        <w:bottom w:val="none" w:sz="0" w:space="0" w:color="auto"/>
        <w:right w:val="none" w:sz="0" w:space="0" w:color="auto"/>
      </w:divBdr>
      <w:divsChild>
        <w:div w:id="1910068732">
          <w:marLeft w:val="0"/>
          <w:marRight w:val="0"/>
          <w:marTop w:val="0"/>
          <w:marBottom w:val="0"/>
          <w:divBdr>
            <w:top w:val="none" w:sz="0" w:space="0" w:color="auto"/>
            <w:left w:val="none" w:sz="0" w:space="0" w:color="auto"/>
            <w:bottom w:val="none" w:sz="0" w:space="0" w:color="auto"/>
            <w:right w:val="none" w:sz="0" w:space="0" w:color="auto"/>
          </w:divBdr>
        </w:div>
      </w:divsChild>
    </w:div>
    <w:div w:id="946541411">
      <w:bodyDiv w:val="1"/>
      <w:marLeft w:val="0"/>
      <w:marRight w:val="0"/>
      <w:marTop w:val="0"/>
      <w:marBottom w:val="0"/>
      <w:divBdr>
        <w:top w:val="none" w:sz="0" w:space="0" w:color="auto"/>
        <w:left w:val="none" w:sz="0" w:space="0" w:color="auto"/>
        <w:bottom w:val="none" w:sz="0" w:space="0" w:color="auto"/>
        <w:right w:val="none" w:sz="0" w:space="0" w:color="auto"/>
      </w:divBdr>
      <w:divsChild>
        <w:div w:id="1621492293">
          <w:marLeft w:val="0"/>
          <w:marRight w:val="0"/>
          <w:marTop w:val="0"/>
          <w:marBottom w:val="0"/>
          <w:divBdr>
            <w:top w:val="none" w:sz="0" w:space="0" w:color="auto"/>
            <w:left w:val="none" w:sz="0" w:space="0" w:color="auto"/>
            <w:bottom w:val="none" w:sz="0" w:space="0" w:color="auto"/>
            <w:right w:val="none" w:sz="0" w:space="0" w:color="auto"/>
          </w:divBdr>
        </w:div>
        <w:div w:id="495388304">
          <w:marLeft w:val="0"/>
          <w:marRight w:val="0"/>
          <w:marTop w:val="0"/>
          <w:marBottom w:val="0"/>
          <w:divBdr>
            <w:top w:val="none" w:sz="0" w:space="0" w:color="auto"/>
            <w:left w:val="none" w:sz="0" w:space="0" w:color="auto"/>
            <w:bottom w:val="none" w:sz="0" w:space="0" w:color="auto"/>
            <w:right w:val="none" w:sz="0" w:space="0" w:color="auto"/>
          </w:divBdr>
        </w:div>
        <w:div w:id="1360231118">
          <w:marLeft w:val="0"/>
          <w:marRight w:val="0"/>
          <w:marTop w:val="0"/>
          <w:marBottom w:val="0"/>
          <w:divBdr>
            <w:top w:val="none" w:sz="0" w:space="0" w:color="auto"/>
            <w:left w:val="none" w:sz="0" w:space="0" w:color="auto"/>
            <w:bottom w:val="none" w:sz="0" w:space="0" w:color="auto"/>
            <w:right w:val="none" w:sz="0" w:space="0" w:color="auto"/>
          </w:divBdr>
        </w:div>
        <w:div w:id="1309237876">
          <w:marLeft w:val="0"/>
          <w:marRight w:val="0"/>
          <w:marTop w:val="0"/>
          <w:marBottom w:val="0"/>
          <w:divBdr>
            <w:top w:val="none" w:sz="0" w:space="0" w:color="auto"/>
            <w:left w:val="none" w:sz="0" w:space="0" w:color="auto"/>
            <w:bottom w:val="none" w:sz="0" w:space="0" w:color="auto"/>
            <w:right w:val="none" w:sz="0" w:space="0" w:color="auto"/>
          </w:divBdr>
        </w:div>
        <w:div w:id="778183178">
          <w:marLeft w:val="0"/>
          <w:marRight w:val="0"/>
          <w:marTop w:val="0"/>
          <w:marBottom w:val="0"/>
          <w:divBdr>
            <w:top w:val="none" w:sz="0" w:space="0" w:color="auto"/>
            <w:left w:val="none" w:sz="0" w:space="0" w:color="auto"/>
            <w:bottom w:val="none" w:sz="0" w:space="0" w:color="auto"/>
            <w:right w:val="none" w:sz="0" w:space="0" w:color="auto"/>
          </w:divBdr>
        </w:div>
        <w:div w:id="1958565357">
          <w:marLeft w:val="0"/>
          <w:marRight w:val="0"/>
          <w:marTop w:val="0"/>
          <w:marBottom w:val="0"/>
          <w:divBdr>
            <w:top w:val="none" w:sz="0" w:space="0" w:color="auto"/>
            <w:left w:val="none" w:sz="0" w:space="0" w:color="auto"/>
            <w:bottom w:val="none" w:sz="0" w:space="0" w:color="auto"/>
            <w:right w:val="none" w:sz="0" w:space="0" w:color="auto"/>
          </w:divBdr>
        </w:div>
        <w:div w:id="166553763">
          <w:marLeft w:val="0"/>
          <w:marRight w:val="0"/>
          <w:marTop w:val="0"/>
          <w:marBottom w:val="0"/>
          <w:divBdr>
            <w:top w:val="none" w:sz="0" w:space="0" w:color="auto"/>
            <w:left w:val="none" w:sz="0" w:space="0" w:color="auto"/>
            <w:bottom w:val="none" w:sz="0" w:space="0" w:color="auto"/>
            <w:right w:val="none" w:sz="0" w:space="0" w:color="auto"/>
          </w:divBdr>
        </w:div>
        <w:div w:id="1825777400">
          <w:marLeft w:val="0"/>
          <w:marRight w:val="0"/>
          <w:marTop w:val="0"/>
          <w:marBottom w:val="0"/>
          <w:divBdr>
            <w:top w:val="none" w:sz="0" w:space="0" w:color="auto"/>
            <w:left w:val="none" w:sz="0" w:space="0" w:color="auto"/>
            <w:bottom w:val="none" w:sz="0" w:space="0" w:color="auto"/>
            <w:right w:val="none" w:sz="0" w:space="0" w:color="auto"/>
          </w:divBdr>
        </w:div>
        <w:div w:id="253363069">
          <w:marLeft w:val="0"/>
          <w:marRight w:val="0"/>
          <w:marTop w:val="0"/>
          <w:marBottom w:val="0"/>
          <w:divBdr>
            <w:top w:val="none" w:sz="0" w:space="0" w:color="auto"/>
            <w:left w:val="none" w:sz="0" w:space="0" w:color="auto"/>
            <w:bottom w:val="none" w:sz="0" w:space="0" w:color="auto"/>
            <w:right w:val="none" w:sz="0" w:space="0" w:color="auto"/>
          </w:divBdr>
        </w:div>
        <w:div w:id="1384985911">
          <w:marLeft w:val="0"/>
          <w:marRight w:val="0"/>
          <w:marTop w:val="0"/>
          <w:marBottom w:val="0"/>
          <w:divBdr>
            <w:top w:val="none" w:sz="0" w:space="0" w:color="auto"/>
            <w:left w:val="none" w:sz="0" w:space="0" w:color="auto"/>
            <w:bottom w:val="none" w:sz="0" w:space="0" w:color="auto"/>
            <w:right w:val="none" w:sz="0" w:space="0" w:color="auto"/>
          </w:divBdr>
        </w:div>
        <w:div w:id="200361086">
          <w:marLeft w:val="0"/>
          <w:marRight w:val="0"/>
          <w:marTop w:val="0"/>
          <w:marBottom w:val="0"/>
          <w:divBdr>
            <w:top w:val="none" w:sz="0" w:space="0" w:color="auto"/>
            <w:left w:val="none" w:sz="0" w:space="0" w:color="auto"/>
            <w:bottom w:val="none" w:sz="0" w:space="0" w:color="auto"/>
            <w:right w:val="none" w:sz="0" w:space="0" w:color="auto"/>
          </w:divBdr>
        </w:div>
      </w:divsChild>
    </w:div>
    <w:div w:id="1220164073">
      <w:bodyDiv w:val="1"/>
      <w:marLeft w:val="0"/>
      <w:marRight w:val="0"/>
      <w:marTop w:val="0"/>
      <w:marBottom w:val="0"/>
      <w:divBdr>
        <w:top w:val="none" w:sz="0" w:space="0" w:color="auto"/>
        <w:left w:val="none" w:sz="0" w:space="0" w:color="auto"/>
        <w:bottom w:val="none" w:sz="0" w:space="0" w:color="auto"/>
        <w:right w:val="none" w:sz="0" w:space="0" w:color="auto"/>
      </w:divBdr>
      <w:divsChild>
        <w:div w:id="284360726">
          <w:marLeft w:val="0"/>
          <w:marRight w:val="0"/>
          <w:marTop w:val="0"/>
          <w:marBottom w:val="0"/>
          <w:divBdr>
            <w:top w:val="none" w:sz="0" w:space="0" w:color="auto"/>
            <w:left w:val="none" w:sz="0" w:space="0" w:color="auto"/>
            <w:bottom w:val="none" w:sz="0" w:space="0" w:color="auto"/>
            <w:right w:val="none" w:sz="0" w:space="0" w:color="auto"/>
          </w:divBdr>
        </w:div>
      </w:divsChild>
    </w:div>
    <w:div w:id="1382292217">
      <w:bodyDiv w:val="1"/>
      <w:marLeft w:val="0"/>
      <w:marRight w:val="0"/>
      <w:marTop w:val="0"/>
      <w:marBottom w:val="0"/>
      <w:divBdr>
        <w:top w:val="none" w:sz="0" w:space="0" w:color="auto"/>
        <w:left w:val="none" w:sz="0" w:space="0" w:color="auto"/>
        <w:bottom w:val="none" w:sz="0" w:space="0" w:color="auto"/>
        <w:right w:val="none" w:sz="0" w:space="0" w:color="auto"/>
      </w:divBdr>
      <w:divsChild>
        <w:div w:id="688603323">
          <w:marLeft w:val="0"/>
          <w:marRight w:val="0"/>
          <w:marTop w:val="0"/>
          <w:marBottom w:val="0"/>
          <w:divBdr>
            <w:top w:val="none" w:sz="0" w:space="0" w:color="auto"/>
            <w:left w:val="none" w:sz="0" w:space="0" w:color="auto"/>
            <w:bottom w:val="none" w:sz="0" w:space="0" w:color="auto"/>
            <w:right w:val="none" w:sz="0" w:space="0" w:color="auto"/>
          </w:divBdr>
        </w:div>
        <w:div w:id="1742944762">
          <w:marLeft w:val="0"/>
          <w:marRight w:val="0"/>
          <w:marTop w:val="0"/>
          <w:marBottom w:val="0"/>
          <w:divBdr>
            <w:top w:val="none" w:sz="0" w:space="0" w:color="auto"/>
            <w:left w:val="none" w:sz="0" w:space="0" w:color="auto"/>
            <w:bottom w:val="none" w:sz="0" w:space="0" w:color="auto"/>
            <w:right w:val="none" w:sz="0" w:space="0" w:color="auto"/>
          </w:divBdr>
        </w:div>
      </w:divsChild>
    </w:div>
    <w:div w:id="1890220334">
      <w:bodyDiv w:val="1"/>
      <w:marLeft w:val="0"/>
      <w:marRight w:val="0"/>
      <w:marTop w:val="0"/>
      <w:marBottom w:val="0"/>
      <w:divBdr>
        <w:top w:val="none" w:sz="0" w:space="0" w:color="auto"/>
        <w:left w:val="none" w:sz="0" w:space="0" w:color="auto"/>
        <w:bottom w:val="none" w:sz="0" w:space="0" w:color="auto"/>
        <w:right w:val="none" w:sz="0" w:space="0" w:color="auto"/>
      </w:divBdr>
      <w:divsChild>
        <w:div w:id="91659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lications.parliament.uk/pa/cm200506/cmbills/081/2006081.htm" TargetMode="External"/><Relationship Id="rId5" Type="http://schemas.openxmlformats.org/officeDocument/2006/relationships/webSettings" Target="webSettings.xml"/><Relationship Id="rId10" Type="http://schemas.openxmlformats.org/officeDocument/2006/relationships/hyperlink" Target="mailto:jeffreydudgeon@hotmail.com" TargetMode="External"/><Relationship Id="rId4" Type="http://schemas.openxmlformats.org/officeDocument/2006/relationships/settings" Target="settings.xml"/><Relationship Id="rId9" Type="http://schemas.openxmlformats.org/officeDocument/2006/relationships/hyperlink" Target="https://austenmorgan.com/wp-content/uploads/2023/12/northern-ireland-troubles-pdf-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5</cp:revision>
  <cp:lastPrinted>2025-04-02T09:13:00Z</cp:lastPrinted>
  <dcterms:created xsi:type="dcterms:W3CDTF">2025-02-06T18:52:00Z</dcterms:created>
  <dcterms:modified xsi:type="dcterms:W3CDTF">2025-04-02T09:13:00Z</dcterms:modified>
</cp:coreProperties>
</file>