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4A" w:rsidRDefault="00C345D6" w:rsidP="00DA7ADA">
      <w:pPr>
        <w:jc w:val="center"/>
      </w:pPr>
      <w:r w:rsidRPr="009009B3">
        <w:rPr>
          <w:b/>
          <w:sz w:val="28"/>
          <w:szCs w:val="28"/>
        </w:rPr>
        <w:t xml:space="preserve">LIST OF  AMNESTIES </w:t>
      </w:r>
      <w:r w:rsidR="00DA7ADA">
        <w:rPr>
          <w:b/>
          <w:sz w:val="28"/>
          <w:szCs w:val="28"/>
        </w:rPr>
        <w:t>IN IRELAND AND NORTHERN IRELAND FROM 1920</w:t>
      </w:r>
    </w:p>
    <w:p w:rsidR="0010422B" w:rsidRDefault="0010422B" w:rsidP="00C1423E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:rsidR="00C1423E" w:rsidRPr="0010422B" w:rsidRDefault="00C1423E" w:rsidP="0010422B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 w:rsidRPr="0010422B">
        <w:rPr>
          <w:rFonts w:eastAsia="Calibri" w:cs="Times New Roman"/>
          <w:b/>
          <w:szCs w:val="24"/>
        </w:rPr>
        <w:t xml:space="preserve">Since </w:t>
      </w:r>
      <w:r w:rsidR="009210A5" w:rsidRPr="0010422B">
        <w:rPr>
          <w:rFonts w:eastAsia="Calibri" w:cs="Times New Roman"/>
          <w:b/>
          <w:szCs w:val="24"/>
        </w:rPr>
        <w:t xml:space="preserve">the </w:t>
      </w:r>
      <w:r w:rsidRPr="0010422B">
        <w:rPr>
          <w:rFonts w:eastAsia="Calibri" w:cs="Times New Roman"/>
          <w:b/>
          <w:szCs w:val="24"/>
        </w:rPr>
        <w:t xml:space="preserve">1998 </w:t>
      </w:r>
      <w:r w:rsidR="009210A5" w:rsidRPr="0010422B">
        <w:rPr>
          <w:rFonts w:eastAsia="Calibri" w:cs="Times New Roman"/>
          <w:b/>
          <w:szCs w:val="24"/>
        </w:rPr>
        <w:t xml:space="preserve">Belfast Agreement </w:t>
      </w:r>
      <w:r w:rsidRPr="0010422B">
        <w:rPr>
          <w:rFonts w:eastAsia="Calibri" w:cs="Times New Roman"/>
          <w:b/>
          <w:szCs w:val="24"/>
        </w:rPr>
        <w:t xml:space="preserve">there have been a large number of amnesties while there </w:t>
      </w:r>
      <w:r w:rsidR="000774E0" w:rsidRPr="0010422B">
        <w:rPr>
          <w:rFonts w:eastAsia="Calibri" w:cs="Times New Roman"/>
          <w:b/>
          <w:szCs w:val="24"/>
        </w:rPr>
        <w:t xml:space="preserve">were </w:t>
      </w:r>
      <w:r w:rsidR="00AE787E">
        <w:rPr>
          <w:rFonts w:eastAsia="Calibri" w:cs="Times New Roman"/>
          <w:b/>
          <w:szCs w:val="24"/>
        </w:rPr>
        <w:t>several</w:t>
      </w:r>
      <w:r w:rsidRPr="0010422B">
        <w:rPr>
          <w:rFonts w:eastAsia="Calibri" w:cs="Times New Roman"/>
          <w:b/>
          <w:szCs w:val="24"/>
        </w:rPr>
        <w:t xml:space="preserve"> in both the Irish Free State </w:t>
      </w:r>
      <w:r w:rsidR="009210A5" w:rsidRPr="0010422B">
        <w:rPr>
          <w:rFonts w:eastAsia="Calibri" w:cs="Times New Roman"/>
          <w:b/>
          <w:szCs w:val="24"/>
        </w:rPr>
        <w:t xml:space="preserve">in the 1920s </w:t>
      </w:r>
      <w:r w:rsidRPr="0010422B">
        <w:rPr>
          <w:rFonts w:eastAsia="Calibri" w:cs="Times New Roman"/>
          <w:b/>
          <w:szCs w:val="24"/>
        </w:rPr>
        <w:t xml:space="preserve">and, perhaps surprisingly, </w:t>
      </w:r>
      <w:r w:rsidR="0010422B">
        <w:rPr>
          <w:rFonts w:eastAsia="Calibri" w:cs="Times New Roman"/>
          <w:b/>
          <w:szCs w:val="24"/>
        </w:rPr>
        <w:t>during</w:t>
      </w:r>
      <w:r w:rsidRPr="0010422B">
        <w:rPr>
          <w:rFonts w:eastAsia="Calibri" w:cs="Times New Roman"/>
          <w:b/>
          <w:szCs w:val="24"/>
        </w:rPr>
        <w:t xml:space="preserve"> the </w:t>
      </w:r>
      <w:r w:rsidR="00AE787E">
        <w:rPr>
          <w:rFonts w:eastAsia="Calibri" w:cs="Times New Roman"/>
          <w:b/>
          <w:szCs w:val="24"/>
        </w:rPr>
        <w:t xml:space="preserve">period of Unionist </w:t>
      </w:r>
      <w:r w:rsidRPr="0010422B">
        <w:rPr>
          <w:rFonts w:eastAsia="Calibri" w:cs="Times New Roman"/>
          <w:b/>
          <w:szCs w:val="24"/>
        </w:rPr>
        <w:t xml:space="preserve">Stormont </w:t>
      </w:r>
      <w:r w:rsidR="0010422B">
        <w:rPr>
          <w:rFonts w:eastAsia="Calibri" w:cs="Times New Roman"/>
          <w:b/>
          <w:szCs w:val="24"/>
        </w:rPr>
        <w:t>government</w:t>
      </w:r>
    </w:p>
    <w:p w:rsidR="00DA7ADA" w:rsidRDefault="00DA7ADA" w:rsidP="00DA7ADA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:rsidR="0010422B" w:rsidRDefault="0010422B" w:rsidP="00DA7ADA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:rsidR="00C1423E" w:rsidRPr="000A0683" w:rsidRDefault="00C1423E" w:rsidP="00DA7ADA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0A0683">
        <w:rPr>
          <w:rFonts w:eastAsia="Calibri" w:cs="Times New Roman"/>
          <w:szCs w:val="24"/>
        </w:rPr>
        <w:t xml:space="preserve">The new Irish </w:t>
      </w:r>
      <w:r w:rsidR="00AE787E">
        <w:rPr>
          <w:rFonts w:eastAsia="Calibri" w:cs="Times New Roman"/>
          <w:szCs w:val="24"/>
        </w:rPr>
        <w:t>Free S</w:t>
      </w:r>
      <w:r w:rsidRPr="000A0683">
        <w:rPr>
          <w:rFonts w:eastAsia="Calibri" w:cs="Times New Roman"/>
          <w:szCs w:val="24"/>
        </w:rPr>
        <w:t>tate legislated three times in 1923-24 for amnesties, dispensing with civil and criminal liability for violence and force used:</w:t>
      </w:r>
    </w:p>
    <w:p w:rsidR="00C1423E" w:rsidRPr="00AE787E" w:rsidRDefault="00C1423E" w:rsidP="00AE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AE787E">
        <w:rPr>
          <w:rFonts w:eastAsia="Calibri" w:cs="Times New Roman"/>
          <w:szCs w:val="24"/>
        </w:rPr>
        <w:t>for UK state forces before their evacuation, the Indemnity (British Military) Act 1923 covered the dates 23</w:t>
      </w:r>
      <w:r w:rsidR="0010422B" w:rsidRPr="00AE787E">
        <w:rPr>
          <w:rFonts w:eastAsia="Calibri" w:cs="Times New Roman"/>
          <w:szCs w:val="24"/>
        </w:rPr>
        <w:t xml:space="preserve"> April 1916 to 10 February 1923;</w:t>
      </w:r>
    </w:p>
    <w:p w:rsidR="00C1423E" w:rsidRPr="00AE787E" w:rsidRDefault="00C1423E" w:rsidP="00AE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AE787E">
        <w:rPr>
          <w:rFonts w:eastAsia="Calibri" w:cs="Times New Roman"/>
          <w:szCs w:val="24"/>
        </w:rPr>
        <w:t>for Free State forces in the subsequent civil war which suppressed enemy Republicans, the Indemnity Act 1923 covered 27 June 1922 to 3 August 1923</w:t>
      </w:r>
      <w:r w:rsidR="0010422B" w:rsidRPr="00AE787E">
        <w:rPr>
          <w:rFonts w:eastAsia="Calibri" w:cs="Times New Roman"/>
          <w:szCs w:val="24"/>
        </w:rPr>
        <w:t>; and</w:t>
      </w:r>
    </w:p>
    <w:p w:rsidR="00C1423E" w:rsidRPr="00AE787E" w:rsidRDefault="00C1423E" w:rsidP="00AE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AE787E">
        <w:rPr>
          <w:rFonts w:eastAsia="Calibri" w:cs="Times New Roman"/>
          <w:szCs w:val="24"/>
        </w:rPr>
        <w:t xml:space="preserve">for Republicans in the </w:t>
      </w:r>
      <w:r w:rsidR="00DA14C0" w:rsidRPr="00AE787E">
        <w:rPr>
          <w:rFonts w:eastAsia="Calibri" w:cs="Times New Roman"/>
          <w:szCs w:val="24"/>
        </w:rPr>
        <w:t>W</w:t>
      </w:r>
      <w:r w:rsidRPr="00AE787E">
        <w:rPr>
          <w:rFonts w:eastAsia="Calibri" w:cs="Times New Roman"/>
          <w:szCs w:val="24"/>
        </w:rPr>
        <w:t xml:space="preserve">ar of </w:t>
      </w:r>
      <w:r w:rsidR="00DA14C0" w:rsidRPr="00AE787E">
        <w:rPr>
          <w:rFonts w:eastAsia="Calibri" w:cs="Times New Roman"/>
          <w:szCs w:val="24"/>
        </w:rPr>
        <w:t>I</w:t>
      </w:r>
      <w:r w:rsidRPr="00AE787E">
        <w:rPr>
          <w:rFonts w:eastAsia="Calibri" w:cs="Times New Roman"/>
          <w:szCs w:val="24"/>
        </w:rPr>
        <w:t>ndependence, the Indemnity Act 1924, covered 21 January 1919 to 28 June 1922.</w:t>
      </w:r>
    </w:p>
    <w:p w:rsidR="0010422B" w:rsidRDefault="00C1423E" w:rsidP="00C1423E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-7"/>
          <w:szCs w:val="24"/>
          <w:lang w:eastAsia="en-GB"/>
        </w:rPr>
      </w:pPr>
      <w:r w:rsidRPr="000A0683">
        <w:rPr>
          <w:rFonts w:eastAsia="Calibri" w:cs="Times New Roman"/>
          <w:szCs w:val="24"/>
        </w:rPr>
        <w:t>The Unionist government after the IRA 1956</w:t>
      </w:r>
      <w:r w:rsidR="00422A90" w:rsidRPr="000A0683">
        <w:rPr>
          <w:rFonts w:eastAsia="Calibri" w:cs="Times New Roman"/>
          <w:szCs w:val="24"/>
        </w:rPr>
        <w:t xml:space="preserve">-62 campaign, and after the </w:t>
      </w:r>
      <w:r w:rsidRPr="000A0683">
        <w:rPr>
          <w:rFonts w:eastAsia="Calibri" w:cs="Times New Roman"/>
          <w:szCs w:val="24"/>
        </w:rPr>
        <w:t>order to dump arms, had</w:t>
      </w:r>
      <w:r w:rsidR="00DA7ADA">
        <w:rPr>
          <w:rFonts w:eastAsia="Calibri" w:cs="Times New Roman"/>
          <w:szCs w:val="24"/>
        </w:rPr>
        <w:t>,</w:t>
      </w:r>
      <w:r w:rsidRPr="000A0683">
        <w:rPr>
          <w:rFonts w:eastAsia="Calibri" w:cs="Times New Roman"/>
          <w:szCs w:val="24"/>
        </w:rPr>
        <w:t xml:space="preserve"> by 1963</w:t>
      </w:r>
      <w:r w:rsidR="00DA7ADA">
        <w:rPr>
          <w:rFonts w:eastAsia="Calibri" w:cs="Times New Roman"/>
          <w:szCs w:val="24"/>
        </w:rPr>
        <w:t>,</w:t>
      </w:r>
      <w:r w:rsidRPr="000A0683">
        <w:rPr>
          <w:rFonts w:eastAsia="Calibri" w:cs="Times New Roman"/>
          <w:szCs w:val="24"/>
        </w:rPr>
        <w:t xml:space="preserve"> released all prisoners and internees. Stormont even released prisoners during the campaign, including, in 1958, a one-time MP</w:t>
      </w:r>
      <w:r w:rsidR="00422A90" w:rsidRPr="000A0683">
        <w:rPr>
          <w:rFonts w:eastAsia="Calibri" w:cs="Times New Roman"/>
          <w:szCs w:val="24"/>
        </w:rPr>
        <w:t>,</w:t>
      </w:r>
      <w:r w:rsidRPr="000A0683">
        <w:rPr>
          <w:rFonts w:eastAsia="Calibri" w:cs="Times New Roman"/>
          <w:szCs w:val="24"/>
        </w:rPr>
        <w:t xml:space="preserve"> </w:t>
      </w:r>
      <w:r w:rsidR="00DA14C0" w:rsidRPr="000A0683">
        <w:rPr>
          <w:rFonts w:eastAsia="Calibri" w:cs="Times New Roman"/>
          <w:szCs w:val="24"/>
        </w:rPr>
        <w:t>Philip Clarke</w:t>
      </w:r>
      <w:r w:rsidR="00422A90" w:rsidRPr="000A0683">
        <w:rPr>
          <w:rFonts w:eastAsia="Calibri" w:cs="Times New Roman"/>
          <w:szCs w:val="24"/>
        </w:rPr>
        <w:t>,</w:t>
      </w:r>
      <w:r w:rsidR="00DA14C0" w:rsidRPr="000A0683">
        <w:rPr>
          <w:rFonts w:eastAsia="Calibri" w:cs="Times New Roman"/>
          <w:szCs w:val="24"/>
        </w:rPr>
        <w:t xml:space="preserve"> </w:t>
      </w:r>
      <w:r w:rsidRPr="000A0683">
        <w:rPr>
          <w:rFonts w:eastAsia="Calibri" w:cs="Times New Roman"/>
          <w:szCs w:val="24"/>
        </w:rPr>
        <w:t xml:space="preserve">convicted of treason felony. </w:t>
      </w:r>
    </w:p>
    <w:p w:rsidR="00C1423E" w:rsidRDefault="00AE787E" w:rsidP="00C1423E">
      <w:pPr>
        <w:spacing w:after="0" w:line="240" w:lineRule="auto"/>
        <w:jc w:val="both"/>
        <w:rPr>
          <w:szCs w:val="24"/>
        </w:rPr>
      </w:pPr>
      <w:r w:rsidRPr="00AE787E">
        <w:rPr>
          <w:szCs w:val="24"/>
        </w:rPr>
        <w:t>Justice in Northern Ireland was circumscribed legislatively and administratively during the making of the</w:t>
      </w:r>
      <w:r>
        <w:rPr>
          <w:szCs w:val="24"/>
        </w:rPr>
        <w:t xml:space="preserve"> 1998 Belfast Agreement and </w:t>
      </w:r>
      <w:r w:rsidRPr="00AE787E">
        <w:rPr>
          <w:szCs w:val="24"/>
        </w:rPr>
        <w:t xml:space="preserve">implementation by a further series of amnesties. </w:t>
      </w:r>
      <w:r w:rsidR="00DA7ADA">
        <w:rPr>
          <w:szCs w:val="24"/>
        </w:rPr>
        <w:t>T</w:t>
      </w:r>
      <w:r w:rsidR="0071153C" w:rsidRPr="000A0683">
        <w:rPr>
          <w:szCs w:val="24"/>
        </w:rPr>
        <w:t>he Northern Ireland (Offences) Bill introduced by Secretary of</w:t>
      </w:r>
      <w:r w:rsidR="00DA7ADA">
        <w:rPr>
          <w:szCs w:val="24"/>
        </w:rPr>
        <w:t xml:space="preserve"> State Peter Hain in 2005 </w:t>
      </w:r>
      <w:r w:rsidR="0071153C" w:rsidRPr="000A0683">
        <w:rPr>
          <w:szCs w:val="24"/>
        </w:rPr>
        <w:t>provided for an amnesty, albeit 'judicially based', for those who were on the run and others. H</w:t>
      </w:r>
      <w:r>
        <w:rPr>
          <w:szCs w:val="24"/>
        </w:rPr>
        <w:t>ain</w:t>
      </w:r>
      <w:r w:rsidR="0071153C" w:rsidRPr="000A0683">
        <w:rPr>
          <w:szCs w:val="24"/>
        </w:rPr>
        <w:t xml:space="preserve"> said then it was Article 2 ECHR compliant. Sinn Fein withdrew support when the SDLP majored on the fact it</w:t>
      </w:r>
      <w:r w:rsidR="00DA7ADA">
        <w:rPr>
          <w:szCs w:val="24"/>
        </w:rPr>
        <w:t xml:space="preserve"> would</w:t>
      </w:r>
      <w:r w:rsidR="0071153C" w:rsidRPr="000A0683">
        <w:rPr>
          <w:szCs w:val="24"/>
        </w:rPr>
        <w:t xml:space="preserve"> also appl</w:t>
      </w:r>
      <w:r w:rsidR="00DA7ADA">
        <w:rPr>
          <w:szCs w:val="24"/>
        </w:rPr>
        <w:t>y</w:t>
      </w:r>
      <w:r w:rsidR="0071153C" w:rsidRPr="000A0683">
        <w:rPr>
          <w:szCs w:val="24"/>
        </w:rPr>
        <w:t xml:space="preserve"> to soldiers</w:t>
      </w:r>
      <w:r>
        <w:rPr>
          <w:szCs w:val="24"/>
        </w:rPr>
        <w:t>,</w:t>
      </w:r>
      <w:r w:rsidR="0071153C" w:rsidRPr="000A0683">
        <w:rPr>
          <w:szCs w:val="24"/>
        </w:rPr>
        <w:t xml:space="preserve"> and the Bill was withdrawn. (See House of Commons Research Paper 05/78 for background and details and </w:t>
      </w:r>
      <w:r>
        <w:rPr>
          <w:szCs w:val="24"/>
        </w:rPr>
        <w:t>B</w:t>
      </w:r>
      <w:bookmarkStart w:id="0" w:name="_GoBack"/>
      <w:bookmarkEnd w:id="0"/>
      <w:r w:rsidR="0071153C" w:rsidRPr="000A0683">
        <w:rPr>
          <w:szCs w:val="24"/>
        </w:rPr>
        <w:t xml:space="preserve">ill </w:t>
      </w:r>
      <w:hyperlink r:id="rId8" w:history="1">
        <w:r w:rsidR="0071153C" w:rsidRPr="000A0683">
          <w:rPr>
            <w:rStyle w:val="Hyperlink"/>
            <w:szCs w:val="24"/>
          </w:rPr>
          <w:t>https://publications.parliament.uk/pa/cm200506/cmbills/081/2006081.htm</w:t>
        </w:r>
      </w:hyperlink>
      <w:r w:rsidR="0071153C" w:rsidRPr="000A0683">
        <w:rPr>
          <w:szCs w:val="24"/>
        </w:rPr>
        <w:t xml:space="preserve"> )</w:t>
      </w:r>
    </w:p>
    <w:p w:rsidR="00727A8F" w:rsidRPr="000A0683" w:rsidRDefault="00727A8F" w:rsidP="00C1423E">
      <w:pPr>
        <w:spacing w:after="0" w:line="240" w:lineRule="auto"/>
        <w:jc w:val="both"/>
        <w:rPr>
          <w:szCs w:val="24"/>
        </w:rPr>
      </w:pPr>
    </w:p>
    <w:p w:rsidR="00C1423E" w:rsidRP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>Immunities (called an amnesty in law) regarding terrorist weapons, from 1997</w:t>
      </w:r>
      <w:r w:rsidR="00422A90" w:rsidRPr="00727A8F">
        <w:rPr>
          <w:rFonts w:eastAsia="Calibri" w:cs="Times New Roman"/>
          <w:szCs w:val="24"/>
        </w:rPr>
        <w:t>-</w:t>
      </w:r>
      <w:r w:rsidRPr="00727A8F">
        <w:rPr>
          <w:rFonts w:eastAsia="Calibri" w:cs="Times New Roman"/>
          <w:szCs w:val="24"/>
        </w:rPr>
        <w:t>2010;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>The Belfast Agreement’s Northern Ireland (Sentences) Act 1998 with its early release of all terrorist prisoners after two years served;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>The requests by Bertie Ahern and Michael McDowell for the UK to discontinue current (and future) extradition proceedings, acceded to by Tony Blair a</w:t>
      </w:r>
      <w:r w:rsidR="000774E0" w:rsidRPr="00727A8F">
        <w:rPr>
          <w:rFonts w:eastAsia="Calibri" w:cs="Times New Roman"/>
          <w:szCs w:val="24"/>
        </w:rPr>
        <w:t>nd Peter Mandelson in 1999-2000;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>Immunities regarding the Saville inquiry, 1998</w:t>
      </w:r>
      <w:r w:rsidR="00236091" w:rsidRPr="00727A8F">
        <w:rPr>
          <w:rFonts w:eastAsia="Calibri" w:cs="Times New Roman"/>
          <w:szCs w:val="24"/>
        </w:rPr>
        <w:t>-</w:t>
      </w:r>
      <w:r w:rsidRPr="00727A8F">
        <w:rPr>
          <w:rFonts w:eastAsia="Calibri" w:cs="Times New Roman"/>
          <w:szCs w:val="24"/>
        </w:rPr>
        <w:t>2010;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>Immunities regarding the Hamill, Nelson, Wright and Breen/Buchanan inquiries, to 2013;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 xml:space="preserve">Immunities regarding the recovery of the </w:t>
      </w:r>
      <w:r w:rsidR="0057127A">
        <w:rPr>
          <w:rFonts w:eastAsia="Calibri" w:cs="Times New Roman"/>
          <w:szCs w:val="24"/>
        </w:rPr>
        <w:t>D</w:t>
      </w:r>
      <w:r w:rsidRPr="00727A8F">
        <w:rPr>
          <w:rFonts w:eastAsia="Calibri" w:cs="Times New Roman"/>
          <w:szCs w:val="24"/>
        </w:rPr>
        <w:t>isappeared, 1999 to present;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>Royal Prerogative of Mercy grants issued silently in dozens of cases since the 1970s</w:t>
      </w:r>
      <w:r w:rsidR="00951114" w:rsidRPr="00727A8F">
        <w:rPr>
          <w:rFonts w:eastAsia="Calibri" w:cs="Times New Roman"/>
          <w:szCs w:val="24"/>
        </w:rPr>
        <w:t>, most files oddly lost</w:t>
      </w:r>
      <w:r w:rsidR="000774E0" w:rsidRPr="00727A8F">
        <w:rPr>
          <w:rFonts w:eastAsia="Calibri" w:cs="Times New Roman"/>
          <w:szCs w:val="24"/>
        </w:rPr>
        <w:t xml:space="preserve">; </w:t>
      </w:r>
    </w:p>
    <w:p w:rsidR="00727A8F" w:rsidRDefault="00C1423E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727A8F">
        <w:rPr>
          <w:rFonts w:eastAsia="Calibri" w:cs="Times New Roman"/>
          <w:szCs w:val="24"/>
        </w:rPr>
        <w:t xml:space="preserve">The secret administrative scheme, </w:t>
      </w:r>
      <w:r w:rsidR="00DA7ADA" w:rsidRPr="00727A8F">
        <w:rPr>
          <w:rFonts w:eastAsia="Calibri" w:cs="Times New Roman"/>
          <w:szCs w:val="24"/>
        </w:rPr>
        <w:t>for</w:t>
      </w:r>
      <w:r w:rsidRPr="00727A8F">
        <w:rPr>
          <w:rFonts w:eastAsia="Calibri" w:cs="Times New Roman"/>
          <w:szCs w:val="24"/>
        </w:rPr>
        <w:t xml:space="preserve"> </w:t>
      </w:r>
      <w:r w:rsidR="00727A8F">
        <w:rPr>
          <w:rFonts w:eastAsia="Calibri" w:cs="Times New Roman"/>
          <w:szCs w:val="24"/>
        </w:rPr>
        <w:t xml:space="preserve">the </w:t>
      </w:r>
      <w:r w:rsidRPr="00727A8F">
        <w:rPr>
          <w:rFonts w:eastAsia="Calibri" w:cs="Times New Roman"/>
          <w:szCs w:val="24"/>
        </w:rPr>
        <w:t>so-called ‘on the runs’ (OTR), operated</w:t>
      </w:r>
      <w:r w:rsidR="000774E0" w:rsidRPr="00727A8F">
        <w:rPr>
          <w:rFonts w:eastAsia="Calibri" w:cs="Times New Roman"/>
          <w:szCs w:val="24"/>
        </w:rPr>
        <w:t xml:space="preserve"> </w:t>
      </w:r>
      <w:r w:rsidRPr="00727A8F">
        <w:rPr>
          <w:rFonts w:eastAsia="Calibri" w:cs="Times New Roman"/>
          <w:szCs w:val="24"/>
        </w:rPr>
        <w:t xml:space="preserve">contrary to the advice of </w:t>
      </w:r>
      <w:r w:rsidR="000774E0" w:rsidRPr="00727A8F">
        <w:rPr>
          <w:rFonts w:eastAsia="Calibri" w:cs="Times New Roman"/>
          <w:szCs w:val="24"/>
        </w:rPr>
        <w:t>several A</w:t>
      </w:r>
      <w:r w:rsidRPr="00727A8F">
        <w:rPr>
          <w:rFonts w:eastAsia="Calibri" w:cs="Times New Roman"/>
          <w:szCs w:val="24"/>
        </w:rPr>
        <w:t xml:space="preserve">ttorneys </w:t>
      </w:r>
      <w:r w:rsidR="000774E0" w:rsidRPr="00727A8F">
        <w:rPr>
          <w:rFonts w:eastAsia="Calibri" w:cs="Times New Roman"/>
          <w:szCs w:val="24"/>
        </w:rPr>
        <w:t>General</w:t>
      </w:r>
      <w:r w:rsidR="00DA14C0" w:rsidRPr="00727A8F">
        <w:rPr>
          <w:rFonts w:eastAsia="Calibri" w:cs="Times New Roman"/>
          <w:szCs w:val="24"/>
        </w:rPr>
        <w:t xml:space="preserve"> </w:t>
      </w:r>
      <w:r w:rsidRPr="00727A8F">
        <w:rPr>
          <w:rFonts w:eastAsia="Calibri" w:cs="Times New Roman"/>
          <w:szCs w:val="24"/>
        </w:rPr>
        <w:t xml:space="preserve">in Whitehall between 2000 and 2014; under it, at least 187 of 228  applicants </w:t>
      </w:r>
      <w:r w:rsidR="00DA7ADA" w:rsidRPr="00727A8F">
        <w:rPr>
          <w:rFonts w:eastAsia="Calibri" w:cs="Times New Roman"/>
          <w:szCs w:val="24"/>
        </w:rPr>
        <w:t xml:space="preserve">(IRA approved only) </w:t>
      </w:r>
      <w:r w:rsidRPr="00727A8F">
        <w:rPr>
          <w:rFonts w:eastAsia="Calibri" w:cs="Times New Roman"/>
          <w:szCs w:val="24"/>
        </w:rPr>
        <w:t>were granted OTR letters of comfort</w:t>
      </w:r>
      <w:r w:rsidR="0010422B">
        <w:rPr>
          <w:rFonts w:eastAsia="Calibri" w:cs="Times New Roman"/>
          <w:szCs w:val="24"/>
        </w:rPr>
        <w:t xml:space="preserve"> Legal status still not clarified</w:t>
      </w:r>
      <w:r w:rsidR="00DA14C0" w:rsidRPr="00727A8F">
        <w:rPr>
          <w:rFonts w:eastAsia="Calibri" w:cs="Times New Roman"/>
          <w:szCs w:val="24"/>
        </w:rPr>
        <w:t>;</w:t>
      </w:r>
    </w:p>
    <w:p w:rsidR="00727A8F" w:rsidRPr="00727A8F" w:rsidRDefault="00727A8F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 w:rsidRPr="00727A8F">
        <w:rPr>
          <w:rFonts w:eastAsia="Calibri" w:cs="Times New Roman"/>
          <w:szCs w:val="24"/>
        </w:rPr>
        <w:t>I</w:t>
      </w:r>
      <w:r w:rsidR="00C1423E" w:rsidRPr="00727A8F">
        <w:rPr>
          <w:rFonts w:eastAsia="Calibri" w:cs="Times New Roman"/>
          <w:szCs w:val="24"/>
        </w:rPr>
        <w:t>mplied amnesties within the Eames Bradley report and in the</w:t>
      </w:r>
      <w:r w:rsidRPr="00727A8F">
        <w:rPr>
          <w:rFonts w:eastAsia="Calibri" w:cs="Times New Roman"/>
          <w:szCs w:val="24"/>
        </w:rPr>
        <w:t xml:space="preserve"> de</w:t>
      </w:r>
      <w:r w:rsidR="00C1423E" w:rsidRPr="00727A8F">
        <w:rPr>
          <w:rFonts w:eastAsia="Calibri" w:cs="Times New Roman"/>
          <w:szCs w:val="24"/>
        </w:rPr>
        <w:t>cision on reopened inquests that there should be an end to reinv</w:t>
      </w:r>
      <w:r w:rsidR="000774E0" w:rsidRPr="00727A8F">
        <w:rPr>
          <w:rFonts w:eastAsia="Calibri" w:cs="Times New Roman"/>
          <w:szCs w:val="24"/>
        </w:rPr>
        <w:t xml:space="preserve">estigations </w:t>
      </w:r>
      <w:r w:rsidR="00C345D6" w:rsidRPr="00727A8F">
        <w:rPr>
          <w:rFonts w:eastAsia="Calibri" w:cs="Times New Roman"/>
          <w:szCs w:val="24"/>
        </w:rPr>
        <w:t>after five years;</w:t>
      </w:r>
    </w:p>
    <w:p w:rsidR="00C1423E" w:rsidRPr="00727A8F" w:rsidRDefault="00727A8F" w:rsidP="00727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>
        <w:rPr>
          <w:rFonts w:eastAsia="Calibri" w:cs="Times New Roman"/>
          <w:szCs w:val="24"/>
        </w:rPr>
        <w:t>The now-</w:t>
      </w:r>
      <w:r w:rsidR="00DA7ADA" w:rsidRPr="00727A8F">
        <w:rPr>
          <w:rFonts w:eastAsia="Calibri" w:cs="Times New Roman"/>
          <w:szCs w:val="24"/>
        </w:rPr>
        <w:t>abandoned conditional amnest</w:t>
      </w:r>
      <w:r w:rsidRPr="00727A8F">
        <w:rPr>
          <w:rFonts w:eastAsia="Calibri" w:cs="Times New Roman"/>
          <w:szCs w:val="24"/>
        </w:rPr>
        <w:t>y</w:t>
      </w:r>
      <w:r w:rsidR="00DA7ADA" w:rsidRPr="00727A8F">
        <w:rPr>
          <w:rFonts w:eastAsia="Calibri" w:cs="Times New Roman"/>
          <w:szCs w:val="24"/>
        </w:rPr>
        <w:t xml:space="preserve"> in the </w:t>
      </w:r>
      <w:r w:rsidR="00C345D6" w:rsidRPr="00727A8F">
        <w:rPr>
          <w:rFonts w:eastAsia="Calibri" w:cs="Times New Roman"/>
          <w:szCs w:val="24"/>
        </w:rPr>
        <w:t xml:space="preserve">Legacy </w:t>
      </w:r>
      <w:r w:rsidR="003B2EAD" w:rsidRPr="00727A8F">
        <w:rPr>
          <w:rFonts w:eastAsia="Calibri" w:cs="Times New Roman"/>
          <w:szCs w:val="24"/>
        </w:rPr>
        <w:t>Act 2023</w:t>
      </w:r>
      <w:r w:rsidR="00C345D6" w:rsidRPr="00727A8F">
        <w:rPr>
          <w:rFonts w:eastAsia="Calibri" w:cs="Times New Roman"/>
          <w:szCs w:val="24"/>
        </w:rPr>
        <w:t>.</w:t>
      </w:r>
    </w:p>
    <w:sectPr w:rsidR="00C1423E" w:rsidRPr="00727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98" w:rsidRDefault="009A5798" w:rsidP="001453E3">
      <w:pPr>
        <w:spacing w:after="0" w:line="240" w:lineRule="auto"/>
      </w:pPr>
      <w:r>
        <w:separator/>
      </w:r>
    </w:p>
  </w:endnote>
  <w:endnote w:type="continuationSeparator" w:id="0">
    <w:p w:rsidR="009A5798" w:rsidRDefault="009A5798" w:rsidP="0014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98" w:rsidRDefault="009A5798" w:rsidP="001453E3">
      <w:pPr>
        <w:spacing w:after="0" w:line="240" w:lineRule="auto"/>
      </w:pPr>
      <w:r>
        <w:separator/>
      </w:r>
    </w:p>
  </w:footnote>
  <w:footnote w:type="continuationSeparator" w:id="0">
    <w:p w:rsidR="009A5798" w:rsidRDefault="009A5798" w:rsidP="00145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4D3"/>
    <w:multiLevelType w:val="hybridMultilevel"/>
    <w:tmpl w:val="2B9E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41A44"/>
    <w:multiLevelType w:val="hybridMultilevel"/>
    <w:tmpl w:val="ACD62B7E"/>
    <w:lvl w:ilvl="0" w:tplc="0E36A3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547BB"/>
    <w:multiLevelType w:val="hybridMultilevel"/>
    <w:tmpl w:val="232A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230C0"/>
    <w:multiLevelType w:val="hybridMultilevel"/>
    <w:tmpl w:val="028C1234"/>
    <w:lvl w:ilvl="0" w:tplc="929CF7C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C803D59"/>
    <w:multiLevelType w:val="hybridMultilevel"/>
    <w:tmpl w:val="7CC039E4"/>
    <w:lvl w:ilvl="0" w:tplc="4866FA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C0"/>
    <w:rsid w:val="000774E0"/>
    <w:rsid w:val="000A0683"/>
    <w:rsid w:val="000D66DA"/>
    <w:rsid w:val="0010422B"/>
    <w:rsid w:val="001453E3"/>
    <w:rsid w:val="001B0B1E"/>
    <w:rsid w:val="001D7017"/>
    <w:rsid w:val="00236091"/>
    <w:rsid w:val="00286D85"/>
    <w:rsid w:val="002A0BC0"/>
    <w:rsid w:val="00304346"/>
    <w:rsid w:val="003A1114"/>
    <w:rsid w:val="003B1A89"/>
    <w:rsid w:val="003B2EAD"/>
    <w:rsid w:val="003F672B"/>
    <w:rsid w:val="00422A90"/>
    <w:rsid w:val="00524FF6"/>
    <w:rsid w:val="005306CF"/>
    <w:rsid w:val="0057127A"/>
    <w:rsid w:val="0063637E"/>
    <w:rsid w:val="00645F2E"/>
    <w:rsid w:val="006F3512"/>
    <w:rsid w:val="0071153C"/>
    <w:rsid w:val="00727A8F"/>
    <w:rsid w:val="007B0BFB"/>
    <w:rsid w:val="008146E8"/>
    <w:rsid w:val="009009B3"/>
    <w:rsid w:val="009210A5"/>
    <w:rsid w:val="00951114"/>
    <w:rsid w:val="00975020"/>
    <w:rsid w:val="009A5798"/>
    <w:rsid w:val="009B73EA"/>
    <w:rsid w:val="00A46DE8"/>
    <w:rsid w:val="00AB5516"/>
    <w:rsid w:val="00AE787E"/>
    <w:rsid w:val="00B22144"/>
    <w:rsid w:val="00B31F94"/>
    <w:rsid w:val="00BB427A"/>
    <w:rsid w:val="00C1423E"/>
    <w:rsid w:val="00C345D6"/>
    <w:rsid w:val="00C56D27"/>
    <w:rsid w:val="00D125E6"/>
    <w:rsid w:val="00DA14C0"/>
    <w:rsid w:val="00DA7ADA"/>
    <w:rsid w:val="00DE43F6"/>
    <w:rsid w:val="00E105E8"/>
    <w:rsid w:val="00E45215"/>
    <w:rsid w:val="00EE3A1E"/>
    <w:rsid w:val="00F10E04"/>
    <w:rsid w:val="00F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453E3"/>
    <w:pPr>
      <w:spacing w:after="0" w:line="240" w:lineRule="auto"/>
    </w:pPr>
    <w:rPr>
      <w:rFonts w:eastAsia="Times New Roman" w:cs="Times New Roman"/>
      <w:b/>
      <w:color w:val="000000"/>
      <w:spacing w:val="-7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3E3"/>
    <w:rPr>
      <w:rFonts w:eastAsia="Times New Roman" w:cs="Times New Roman"/>
      <w:b/>
      <w:color w:val="000000"/>
      <w:spacing w:val="-7"/>
      <w:sz w:val="20"/>
      <w:szCs w:val="20"/>
      <w:lang w:eastAsia="en-GB"/>
    </w:rPr>
  </w:style>
  <w:style w:type="character" w:styleId="FootnoteReference">
    <w:name w:val="footnote reference"/>
    <w:uiPriority w:val="99"/>
    <w:rsid w:val="001453E3"/>
    <w:rPr>
      <w:vertAlign w:val="superscript"/>
    </w:rPr>
  </w:style>
  <w:style w:type="paragraph" w:styleId="NoSpacing">
    <w:name w:val="No Spacing"/>
    <w:uiPriority w:val="1"/>
    <w:qFormat/>
    <w:rsid w:val="006F35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35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453E3"/>
    <w:pPr>
      <w:spacing w:after="0" w:line="240" w:lineRule="auto"/>
    </w:pPr>
    <w:rPr>
      <w:rFonts w:eastAsia="Times New Roman" w:cs="Times New Roman"/>
      <w:b/>
      <w:color w:val="000000"/>
      <w:spacing w:val="-7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3E3"/>
    <w:rPr>
      <w:rFonts w:eastAsia="Times New Roman" w:cs="Times New Roman"/>
      <w:b/>
      <w:color w:val="000000"/>
      <w:spacing w:val="-7"/>
      <w:sz w:val="20"/>
      <w:szCs w:val="20"/>
      <w:lang w:eastAsia="en-GB"/>
    </w:rPr>
  </w:style>
  <w:style w:type="character" w:styleId="FootnoteReference">
    <w:name w:val="footnote reference"/>
    <w:uiPriority w:val="99"/>
    <w:rsid w:val="001453E3"/>
    <w:rPr>
      <w:vertAlign w:val="superscript"/>
    </w:rPr>
  </w:style>
  <w:style w:type="paragraph" w:styleId="NoSpacing">
    <w:name w:val="No Spacing"/>
    <w:uiPriority w:val="1"/>
    <w:qFormat/>
    <w:rsid w:val="006F35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35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parliament.uk/pa/cm200506/cmbills/081/2006081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4</cp:revision>
  <cp:lastPrinted>2023-01-24T09:53:00Z</cp:lastPrinted>
  <dcterms:created xsi:type="dcterms:W3CDTF">2025-01-07T15:51:00Z</dcterms:created>
  <dcterms:modified xsi:type="dcterms:W3CDTF">2025-01-08T16:10:00Z</dcterms:modified>
</cp:coreProperties>
</file>